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keepLines/>
        <w:keepNext/>
        <w:spacing w:before="480" w:after="120"/>
        <w:rPr>
          <w:rFonts w:ascii="Calibri" w:hAnsi="Calibri" w:cs="Calibri" w:eastAsia="Calibri"/>
          <w:b/>
          <w:color w:val="000000"/>
          <w:sz w:val="56"/>
          <w:szCs w:val="56"/>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56"/>
          <w:szCs w:val="56"/>
        </w:rPr>
        <w:t xml:space="preserve">Attendance Policy</w:t>
      </w:r>
      <w:r/>
    </w:p>
    <w:p>
      <w:pPr>
        <w:jc w:val="center"/>
        <w:keepLines/>
        <w:keepNext/>
        <w:spacing w:before="480" w:after="120"/>
        <w:rPr>
          <w:rFonts w:ascii="Arial" w:hAnsi="Arial" w:cs="Arial" w:eastAsia="Arial"/>
          <w:b/>
          <w:sz w:val="56"/>
          <w:szCs w:val="56"/>
        </w:rPr>
      </w:pPr>
      <w:r>
        <w:rPr>
          <w:rFonts w:ascii="Arial" w:hAnsi="Arial" w:cs="Arial" w:eastAsia="Arial"/>
          <w:b/>
          <w:sz w:val="56"/>
          <w:szCs w:val="56"/>
          <w:lang w:eastAsia="ja-JP"/>
        </w:rPr>
        <mc:AlternateContent>
          <mc:Choice Requires="wpg">
            <w:drawing>
              <wp:inline xmlns:wp="http://schemas.openxmlformats.org/drawingml/2006/wordprocessingDrawing" distT="0" distB="0" distL="0" distR="0">
                <wp:extent cx="3104809" cy="897207"/>
                <wp:effectExtent l="0" t="0" r="0" b="0"/>
                <wp:docPr id="1" name="image1.jpg" descr="C:\Users\penny\Desktop\Logo\resizeOnTrackEducation-Logo-1.jpg" hidden="0"/>
                <wp:cNvGraphicFramePr/>
                <a:graphic xmlns:a="http://schemas.openxmlformats.org/drawingml/2006/main">
                  <a:graphicData uri="http://schemas.openxmlformats.org/drawingml/2006/picture">
                    <pic:pic xmlns:pic="http://schemas.openxmlformats.org/drawingml/2006/picture">
                      <pic:nvPicPr>
                        <pic:cNvPr id="0" name="image1.jpg" descr="C:\Users\penny\Desktop\Logo\resizeOnTrackEducation-Logo-1.jpg" hidden="0"/>
                        <pic:cNvPicPr/>
                        <pic:nvPr isPhoto="0" userDrawn="0"/>
                      </pic:nvPicPr>
                      <pic:blipFill>
                        <a:blip r:embed="rId10"/>
                        <a:stretch/>
                      </pic:blipFill>
                      <pic:spPr bwMode="auto">
                        <a:xfrm>
                          <a:off x="0" y="0"/>
                          <a:ext cx="3104809" cy="897207"/>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44.5pt;height:70.6pt;">
                <v:path textboxrect="0,0,0,0"/>
                <v:imagedata r:id="rId10" o:title=""/>
              </v:shape>
            </w:pict>
          </mc:Fallback>
        </mc:AlternateContent>
      </w:r>
      <w:r/>
    </w:p>
    <w:tbl>
      <w:tblPr>
        <w:tblStyle w:val="722"/>
        <w:tblW w:w="9441" w:type="dxa"/>
        <w:jc w:val="center"/>
        <w:tblLayout w:type="fixed"/>
        <w:tblLook w:val="0000" w:firstRow="0" w:lastRow="0" w:firstColumn="0" w:lastColumn="0" w:noHBand="0" w:noVBand="0"/>
      </w:tblPr>
      <w:tblGrid>
        <w:gridCol w:w="2127"/>
        <w:gridCol w:w="3727"/>
        <w:gridCol w:w="3587"/>
      </w:tblGrid>
      <w:tr>
        <w:trPr>
          <w:jc w:val="center"/>
        </w:trPr>
        <w:tc>
          <w:tcPr>
            <w:shd w:val="clear" w:color="auto" w:fill="ccc0d9"/>
            <w:tcBorders>
              <w:bottom w:val="single" w:color="FFFFFF" w:sz="18" w:space="0"/>
            </w:tcBorders>
            <w:tcW w:w="2127" w:type="dxa"/>
            <w:textDirection w:val="lrTb"/>
            <w:noWrap w:val="false"/>
          </w:tcPr>
          <w:p>
            <w:pPr>
              <w:spacing w:before="120" w:after="120"/>
              <w:rPr>
                <w:rFonts w:ascii="Calibri" w:hAnsi="Calibri" w:cs="Calibri" w:eastAsia="Calibri"/>
                <w:sz w:val="20"/>
                <w:szCs w:val="20"/>
              </w:rPr>
            </w:pPr>
            <w:r>
              <w:rPr>
                <w:rFonts w:ascii="Calibri" w:hAnsi="Calibri" w:cs="Calibri" w:eastAsia="Calibri"/>
                <w:b/>
                <w:sz w:val="20"/>
                <w:szCs w:val="20"/>
              </w:rPr>
              <w:t xml:space="preserve">Approved by:</w:t>
            </w:r>
            <w:r/>
          </w:p>
        </w:tc>
        <w:tc>
          <w:tcPr>
            <w:shd w:val="clear" w:color="auto" w:fill="ccc0d9"/>
            <w:tcBorders>
              <w:bottom w:val="single" w:color="FFFFFF" w:sz="18" w:space="0"/>
            </w:tcBorders>
            <w:tcW w:w="3727" w:type="dxa"/>
            <w:textDirection w:val="lrTb"/>
            <w:noWrap w:val="false"/>
          </w:tcPr>
          <w:p>
            <w:pPr>
              <w:spacing w:before="120" w:after="120"/>
              <w:rPr>
                <w:rFonts w:ascii="Calibri" w:hAnsi="Calibri" w:cs="Calibri" w:eastAsia="Calibri"/>
                <w:sz w:val="20"/>
                <w:szCs w:val="20"/>
              </w:rPr>
            </w:pPr>
            <w:r>
              <w:rPr>
                <w:rFonts w:ascii="Calibri" w:hAnsi="Calibri" w:cs="Calibri" w:eastAsia="Calibri"/>
                <w:sz w:val="20"/>
                <w:szCs w:val="20"/>
              </w:rPr>
              <w:t xml:space="preserve">Penny Harris (Director) Jane Cox (Director)</w:t>
            </w:r>
            <w:r/>
          </w:p>
        </w:tc>
        <w:tc>
          <w:tcPr>
            <w:shd w:val="clear" w:color="auto" w:fill="ccc0d9"/>
            <w:tcBorders>
              <w:bottom w:val="single" w:color="FFFFFF" w:sz="18" w:space="0"/>
            </w:tcBorders>
            <w:tcW w:w="3587" w:type="dxa"/>
            <w:textDirection w:val="lrTb"/>
            <w:noWrap w:val="false"/>
          </w:tcPr>
          <w:p>
            <w:pPr>
              <w:spacing w:before="120" w:after="120"/>
              <w:rPr>
                <w:rFonts w:ascii="Calibri" w:hAnsi="Calibri" w:cs="Calibri" w:eastAsia="Calibri"/>
                <w:sz w:val="20"/>
                <w:szCs w:val="20"/>
              </w:rPr>
            </w:pPr>
            <w:r>
              <w:rPr>
                <w:rFonts w:ascii="Calibri" w:hAnsi="Calibri" w:cs="Calibri" w:eastAsia="Calibri"/>
                <w:b/>
                <w:sz w:val="20"/>
                <w:szCs w:val="20"/>
              </w:rPr>
              <w:t xml:space="preserve">Date:</w:t>
            </w:r>
            <w:r>
              <w:rPr>
                <w:rFonts w:ascii="Calibri" w:hAnsi="Calibri" w:cs="Calibri" w:eastAsia="Calibri"/>
                <w:sz w:val="20"/>
                <w:szCs w:val="20"/>
              </w:rPr>
              <w:t xml:space="preserve">  26</w:t>
            </w:r>
            <w:r>
              <w:rPr>
                <w:rFonts w:ascii="Calibri" w:hAnsi="Calibri" w:cs="Calibri" w:eastAsia="Calibri"/>
                <w:sz w:val="20"/>
                <w:szCs w:val="20"/>
                <w:vertAlign w:val="superscript"/>
              </w:rPr>
              <w:t xml:space="preserve">th</w:t>
            </w:r>
            <w:r>
              <w:rPr>
                <w:rFonts w:ascii="Calibri" w:hAnsi="Calibri" w:cs="Calibri" w:eastAsia="Calibri"/>
                <w:sz w:val="20"/>
                <w:szCs w:val="20"/>
              </w:rPr>
              <w:t xml:space="preserve"> November 2024</w:t>
            </w:r>
            <w:r/>
          </w:p>
        </w:tc>
      </w:tr>
      <w:tr>
        <w:trPr>
          <w:jc w:val="center"/>
        </w:trPr>
        <w:tc>
          <w:tcPr>
            <w:shd w:val="clear" w:color="auto" w:fill="ccc0d9"/>
            <w:tcBorders>
              <w:top w:val="single" w:color="FFFFFF" w:sz="18" w:space="0"/>
              <w:bottom w:val="single" w:color="FFFFFF" w:sz="18" w:space="0"/>
            </w:tcBorders>
            <w:tcW w:w="2127" w:type="dxa"/>
            <w:textDirection w:val="lrTb"/>
            <w:noWrap w:val="false"/>
          </w:tcPr>
          <w:p>
            <w:pPr>
              <w:spacing w:before="120" w:after="120"/>
              <w:rPr>
                <w:rFonts w:ascii="Calibri" w:hAnsi="Calibri" w:cs="Calibri" w:eastAsia="Calibri"/>
                <w:sz w:val="20"/>
                <w:szCs w:val="20"/>
              </w:rPr>
            </w:pPr>
            <w:r>
              <w:rPr>
                <w:rFonts w:ascii="Calibri" w:hAnsi="Calibri" w:cs="Calibri" w:eastAsia="Calibri"/>
                <w:b/>
                <w:sz w:val="20"/>
                <w:szCs w:val="20"/>
              </w:rPr>
              <w:t xml:space="preserve">Last reviewed on:</w:t>
            </w:r>
            <w:r/>
          </w:p>
        </w:tc>
        <w:tc>
          <w:tcPr>
            <w:gridSpan w:val="2"/>
            <w:shd w:val="clear" w:color="auto" w:fill="ccc0d9"/>
            <w:tcBorders>
              <w:top w:val="single" w:color="FFFFFF" w:sz="18" w:space="0"/>
              <w:bottom w:val="single" w:color="FFFFFF" w:sz="18" w:space="0"/>
            </w:tcBorders>
            <w:tcW w:w="7314" w:type="dxa"/>
            <w:textDirection w:val="lrTb"/>
            <w:noWrap w:val="false"/>
          </w:tcPr>
          <w:p>
            <w:pPr>
              <w:spacing w:before="120" w:after="120"/>
              <w:rPr>
                <w:rFonts w:ascii="Calibri" w:hAnsi="Calibri" w:cs="Calibri" w:eastAsia="Calibri"/>
                <w:sz w:val="20"/>
                <w:szCs w:val="20"/>
              </w:rPr>
            </w:pPr>
            <w:r>
              <w:rPr>
                <w:rFonts w:ascii="Calibri" w:hAnsi="Calibri" w:cs="Calibri" w:eastAsia="Calibri"/>
                <w:sz w:val="20"/>
                <w:szCs w:val="20"/>
              </w:rPr>
              <w:t xml:space="preserve">1</w:t>
            </w:r>
            <w:r>
              <w:rPr>
                <w:rFonts w:ascii="Calibri" w:hAnsi="Calibri" w:cs="Calibri" w:eastAsia="Calibri"/>
                <w:sz w:val="20"/>
                <w:szCs w:val="20"/>
                <w:vertAlign w:val="superscript"/>
              </w:rPr>
              <w:t xml:space="preserve">st</w:t>
            </w:r>
            <w:r>
              <w:rPr>
                <w:rFonts w:ascii="Calibri" w:hAnsi="Calibri" w:cs="Calibri" w:eastAsia="Calibri"/>
                <w:sz w:val="20"/>
                <w:szCs w:val="20"/>
              </w:rPr>
              <w:t xml:space="preserve"> September 2025</w:t>
            </w:r>
            <w:r/>
          </w:p>
        </w:tc>
      </w:tr>
      <w:tr>
        <w:trPr>
          <w:jc w:val="center"/>
        </w:trPr>
        <w:tc>
          <w:tcPr>
            <w:shd w:val="clear" w:color="auto" w:fill="ccc0d9"/>
            <w:tcBorders>
              <w:top w:val="single" w:color="FFFFFF" w:sz="18" w:space="0"/>
            </w:tcBorders>
            <w:tcW w:w="2127" w:type="dxa"/>
            <w:textDirection w:val="lrTb"/>
            <w:noWrap w:val="false"/>
          </w:tcPr>
          <w:p>
            <w:pPr>
              <w:spacing w:before="120" w:after="120"/>
              <w:rPr>
                <w:rFonts w:ascii="Calibri" w:hAnsi="Calibri" w:cs="Calibri" w:eastAsia="Calibri"/>
                <w:sz w:val="20"/>
                <w:szCs w:val="20"/>
              </w:rPr>
            </w:pPr>
            <w:r>
              <w:rPr>
                <w:rFonts w:ascii="Calibri" w:hAnsi="Calibri" w:cs="Calibri" w:eastAsia="Calibri"/>
                <w:b/>
                <w:sz w:val="20"/>
                <w:szCs w:val="20"/>
              </w:rPr>
              <w:t xml:space="preserve">Next review due by:</w:t>
            </w:r>
            <w:r/>
          </w:p>
        </w:tc>
        <w:tc>
          <w:tcPr>
            <w:gridSpan w:val="2"/>
            <w:shd w:val="clear" w:color="auto" w:fill="ccc0d9"/>
            <w:tcBorders>
              <w:top w:val="single" w:color="FFFFFF" w:sz="18" w:space="0"/>
            </w:tcBorders>
            <w:tcW w:w="7314" w:type="dxa"/>
            <w:textDirection w:val="lrTb"/>
            <w:noWrap w:val="false"/>
          </w:tcPr>
          <w:p>
            <w:pPr>
              <w:spacing w:before="120" w:after="120"/>
              <w:rPr>
                <w:rFonts w:ascii="Calibri" w:hAnsi="Calibri" w:cs="Calibri" w:eastAsia="Calibri"/>
                <w:sz w:val="20"/>
                <w:szCs w:val="20"/>
              </w:rPr>
            </w:pPr>
            <w:r>
              <w:rPr>
                <w:rFonts w:ascii="Calibri" w:hAnsi="Calibri" w:cs="Calibri" w:eastAsia="Calibri"/>
                <w:sz w:val="20"/>
                <w:szCs w:val="20"/>
              </w:rPr>
              <w:t xml:space="preserve">1</w:t>
            </w:r>
            <w:r>
              <w:rPr>
                <w:rFonts w:ascii="Calibri" w:hAnsi="Calibri" w:cs="Calibri" w:eastAsia="Calibri"/>
                <w:sz w:val="20"/>
                <w:szCs w:val="20"/>
                <w:vertAlign w:val="superscript"/>
              </w:rPr>
              <w:t xml:space="preserve">st</w:t>
            </w:r>
            <w:r>
              <w:rPr>
                <w:rFonts w:ascii="Calibri" w:hAnsi="Calibri" w:cs="Calibri" w:eastAsia="Calibri"/>
                <w:sz w:val="20"/>
                <w:szCs w:val="20"/>
              </w:rPr>
              <w:t xml:space="preserve"> September 2026</w:t>
            </w:r>
            <w:r/>
          </w:p>
        </w:tc>
      </w:tr>
    </w:tbl>
    <w:p>
      <w:pPr>
        <w:rPr>
          <w:rFonts w:ascii="Calibri" w:hAnsi="Calibri" w:cs="Calibri" w:eastAsia="Calibri"/>
          <w:color w:val="000000"/>
          <w:sz w:val="22"/>
          <w:szCs w:val="22"/>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2"/>
          <w:szCs w:val="22"/>
        </w:rPr>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All policies are generated and reviewed with an awar</w:t>
      </w:r>
      <w:r>
        <w:rPr>
          <w:rFonts w:ascii="Calibri" w:hAnsi="Calibri" w:cs="Calibri" w:eastAsia="Calibri"/>
          <w:color w:val="000000"/>
          <w:sz w:val="20"/>
          <w:szCs w:val="20"/>
        </w:rPr>
        <w:t xml:space="preserve">eness of equality and diversity in relation to pupils, staff and visitors.  All policies are generated and reviewed placing safeguarding and wellbeing at the heart of all that we do. This policy will be reviewed as guidance from the local authority and/or </w:t>
      </w:r>
      <w:r>
        <w:rPr>
          <w:rFonts w:ascii="Calibri" w:hAnsi="Calibri" w:cs="Calibri" w:eastAsia="Calibri"/>
          <w:color w:val="000000"/>
          <w:sz w:val="20"/>
          <w:szCs w:val="20"/>
        </w:rPr>
        <w:t xml:space="preserve">DfE</w:t>
      </w:r>
      <w:r>
        <w:rPr>
          <w:rFonts w:ascii="Calibri" w:hAnsi="Calibri" w:cs="Calibri" w:eastAsia="Calibri"/>
          <w:color w:val="000000"/>
          <w:sz w:val="20"/>
          <w:szCs w:val="20"/>
        </w:rPr>
        <w:t xml:space="preserve"> is updated, and as a minimum annually.</w:t>
      </w:r>
      <w:r/>
    </w:p>
    <w:p>
      <w:pPr>
        <w:rPr>
          <w:rFonts w:ascii="Calibri" w:hAnsi="Calibri" w:cs="Calibri" w:eastAsia="Calibri"/>
          <w:b/>
          <w:color w:val="000000"/>
          <w:sz w:val="22"/>
          <w:szCs w:val="22"/>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2"/>
          <w:szCs w:val="22"/>
        </w:rPr>
      </w:r>
      <w:r/>
    </w:p>
    <w:p>
      <w:pPr>
        <w:numPr>
          <w:ilvl w:val="0"/>
          <w:numId w:val="1"/>
        </w:numPr>
        <w:jc w:val="both"/>
        <w:rPr>
          <w:rFonts w:ascii="Calibri" w:hAnsi="Calibri" w:cs="Calibri" w:eastAsia="Calibri"/>
          <w:b/>
          <w:color w:val="000000"/>
          <w:u w:val="single"/>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2"/>
          <w:szCs w:val="22"/>
          <w:u w:val="single"/>
        </w:rPr>
        <w:t xml:space="preserve">Aims </w:t>
      </w:r>
      <w:r/>
    </w:p>
    <w:p>
      <w:pPr>
        <w:ind w:left="720"/>
        <w:jc w:val="both"/>
        <w:rPr>
          <w:rFonts w:ascii="Calibri" w:hAnsi="Calibri" w:cs="Calibri" w:eastAsia="Calibri"/>
          <w:b/>
          <w:color w:val="000000"/>
          <w:sz w:val="22"/>
          <w:szCs w:val="22"/>
          <w:u w:val="single"/>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2"/>
          <w:szCs w:val="22"/>
          <w:u w:val="single"/>
        </w:rPr>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This policy aims to show our commitment to meeting our obligations with regards to school attendance, including those laid out in the Department for Education’s (</w:t>
      </w:r>
      <w:r>
        <w:rPr>
          <w:rFonts w:ascii="Calibri" w:hAnsi="Calibri" w:cs="Calibri" w:eastAsia="Calibri"/>
          <w:color w:val="000000"/>
          <w:sz w:val="20"/>
          <w:szCs w:val="20"/>
        </w:rPr>
        <w:t xml:space="preserve">DfE’s</w:t>
      </w:r>
      <w:r>
        <w:rPr>
          <w:rFonts w:ascii="Calibri" w:hAnsi="Calibri" w:cs="Calibri" w:eastAsia="Calibri"/>
          <w:color w:val="000000"/>
          <w:sz w:val="20"/>
          <w:szCs w:val="20"/>
        </w:rPr>
        <w:t xml:space="preserve">) statutory guidance on working together to improve school attendance (applies from 19 August 2024), through our whole-school culture and ethos that values good attendance, including:</w:t>
      </w:r>
      <w:r/>
    </w:p>
    <w:p>
      <w:pPr>
        <w:numPr>
          <w:ilvl w:val="0"/>
          <w:numId w:val="22"/>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Setting high expectations for the attendance and punctuality of all pupils</w:t>
      </w:r>
      <w:r/>
    </w:p>
    <w:p>
      <w:pPr>
        <w:numPr>
          <w:ilvl w:val="0"/>
          <w:numId w:val="22"/>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Promoting good attendance and the benefits of good attendance</w:t>
      </w:r>
      <w:r/>
    </w:p>
    <w:p>
      <w:pPr>
        <w:numPr>
          <w:ilvl w:val="0"/>
          <w:numId w:val="22"/>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Reducing absence, including persistent and severe absence</w:t>
      </w:r>
      <w:r/>
    </w:p>
    <w:p>
      <w:pPr>
        <w:numPr>
          <w:ilvl w:val="0"/>
          <w:numId w:val="22"/>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Ensuring every pupil has access to the full-time education to which they are entitled</w:t>
      </w:r>
      <w:r/>
    </w:p>
    <w:p>
      <w:pPr>
        <w:numPr>
          <w:ilvl w:val="0"/>
          <w:numId w:val="22"/>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Acting early to address patterns of absence</w:t>
      </w:r>
      <w:r/>
    </w:p>
    <w:p>
      <w:pPr>
        <w:numPr>
          <w:ilvl w:val="0"/>
          <w:numId w:val="22"/>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Building strong relationships with families to make sure pupils have the support in place to attend school</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We will also promote and support punctuality in attending lessons.</w:t>
      </w:r>
      <w:r/>
    </w:p>
    <w:p>
      <w:pPr>
        <w:jc w:val="both"/>
        <w:rPr>
          <w:rFonts w:ascii="Calibri" w:hAnsi="Calibri" w:cs="Calibri" w:eastAsia="Calibri"/>
          <w:color w:val="000000"/>
          <w:sz w:val="22"/>
          <w:szCs w:val="22"/>
          <w:u w:val="single"/>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2"/>
          <w:szCs w:val="22"/>
          <w:u w:val="single"/>
        </w:rPr>
      </w:r>
      <w:r/>
    </w:p>
    <w:p>
      <w:pPr>
        <w:numPr>
          <w:ilvl w:val="0"/>
          <w:numId w:val="1"/>
        </w:numPr>
        <w:jc w:val="both"/>
        <w:rPr>
          <w:rFonts w:ascii="Calibri" w:hAnsi="Calibri" w:cs="Calibri" w:eastAsia="Calibri"/>
          <w:b/>
          <w:color w:val="00000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2"/>
          <w:szCs w:val="22"/>
          <w:u w:val="single"/>
        </w:rPr>
        <w:t xml:space="preserve">Legislation and guidance </w:t>
      </w:r>
      <w:r/>
    </w:p>
    <w:p>
      <w:pPr>
        <w:ind w:left="720"/>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r>
      <w:r/>
    </w:p>
    <w:p>
      <w:pPr>
        <w:spacing w:after="120"/>
        <w:rPr>
          <w:rFonts w:ascii="Calibri" w:hAnsi="Calibri" w:cs="Calibri" w:eastAsia="Calibri"/>
          <w:sz w:val="20"/>
          <w:szCs w:val="20"/>
        </w:rPr>
      </w:pPr>
      <w:r/>
      <w:bookmarkStart w:id="0" w:name="_gjdgxs"/>
      <w:r/>
      <w:bookmarkEnd w:id="0"/>
      <w:r>
        <w:rPr>
          <w:rFonts w:ascii="Calibri" w:hAnsi="Calibri" w:cs="Calibri" w:eastAsia="Calibri"/>
          <w:sz w:val="20"/>
          <w:szCs w:val="20"/>
        </w:rPr>
        <w:t xml:space="preserve">This policy is based on the Department for Education’s (</w:t>
      </w:r>
      <w:r>
        <w:rPr>
          <w:rFonts w:ascii="Calibri" w:hAnsi="Calibri" w:cs="Calibri" w:eastAsia="Calibri"/>
          <w:sz w:val="20"/>
          <w:szCs w:val="20"/>
        </w:rPr>
        <w:t xml:space="preserve">DfE’s</w:t>
      </w:r>
      <w:r>
        <w:rPr>
          <w:rFonts w:ascii="Calibri" w:hAnsi="Calibri" w:cs="Calibri" w:eastAsia="Calibri"/>
          <w:sz w:val="20"/>
          <w:szCs w:val="20"/>
        </w:rPr>
        <w:t xml:space="preserve">) statutory guidance on</w:t>
      </w:r>
      <w:r>
        <w:rPr>
          <w:rFonts w:ascii="Calibri" w:hAnsi="Calibri" w:cs="Calibri" w:eastAsia="Calibri"/>
          <w:color w:val="FF0000"/>
          <w:sz w:val="20"/>
          <w:szCs w:val="20"/>
          <w:highlight w:val="white"/>
        </w:rPr>
        <w:t xml:space="preserve"> </w:t>
      </w:r>
      <w:hyperlink r:id="rId11" w:tooltip="https://www.gov.uk/government/publications/working-together-to-improve-school-attendance" w:history="1">
        <w:r>
          <w:rPr>
            <w:rFonts w:ascii="Calibri" w:hAnsi="Calibri" w:cs="Calibri" w:eastAsia="Calibri"/>
            <w:color w:val="0072CC"/>
            <w:sz w:val="20"/>
            <w:szCs w:val="20"/>
            <w:u w:val="single"/>
          </w:rPr>
          <w:t xml:space="preserve">working together to improve school attendance (applies from 19 August 2024)</w:t>
        </w:r>
      </w:hyperlink>
      <w:r>
        <w:rPr>
          <w:rFonts w:ascii="Calibri" w:hAnsi="Calibri" w:cs="Calibri" w:eastAsia="Calibri"/>
          <w:sz w:val="20"/>
          <w:szCs w:val="20"/>
        </w:rPr>
        <w:t xml:space="preserve"> and</w:t>
      </w:r>
      <w:r>
        <w:rPr>
          <w:rFonts w:ascii="Calibri" w:hAnsi="Calibri" w:cs="Calibri" w:eastAsia="Calibri"/>
          <w:color w:val="FF0000"/>
          <w:sz w:val="20"/>
          <w:szCs w:val="20"/>
          <w:highlight w:val="white"/>
        </w:rPr>
        <w:t xml:space="preserve"> </w:t>
      </w:r>
      <w:hyperlink r:id="rId12" w:tooltip="https://www.gov.uk/government/publications/parental-responsibility-measures-for-behaviour-and-attendance" w:history="1">
        <w:r>
          <w:rPr>
            <w:rFonts w:ascii="Calibri" w:hAnsi="Calibri" w:cs="Calibri" w:eastAsia="Calibri"/>
            <w:color w:val="0072CC"/>
            <w:sz w:val="20"/>
            <w:szCs w:val="20"/>
            <w:u w:val="single"/>
          </w:rPr>
          <w:t xml:space="preserve">school attendance parental responsibility measures</w:t>
        </w:r>
      </w:hyperlink>
      <w:r>
        <w:rPr>
          <w:rFonts w:ascii="Calibri" w:hAnsi="Calibri" w:cs="Calibri" w:eastAsia="Calibri"/>
          <w:sz w:val="20"/>
          <w:szCs w:val="20"/>
        </w:rPr>
        <w:t xml:space="preserve">. The guidance is based on the following pieces of legislation, which set out the legal powers and duties that govern school attendance:</w:t>
      </w:r>
      <w:r/>
    </w:p>
    <w:p>
      <w:pPr>
        <w:spacing w:after="120"/>
        <w:rPr>
          <w:rFonts w:ascii="Calibri" w:hAnsi="Calibri" w:cs="Calibri" w:eastAsia="Calibri"/>
          <w:sz w:val="20"/>
          <w:szCs w:val="20"/>
        </w:rPr>
      </w:pPr>
      <w:r>
        <w:rPr>
          <w:rFonts w:ascii="Calibri" w:hAnsi="Calibri" w:cs="Calibri" w:eastAsia="Calibri"/>
          <w:sz w:val="20"/>
          <w:szCs w:val="20"/>
        </w:rPr>
        <w:t xml:space="preserve">Part 6 of the </w:t>
      </w:r>
      <w:hyperlink r:id="rId13" w:tooltip="https://www.legislation.gov.uk/ukpga/1996/56/contents" w:history="1">
        <w:r>
          <w:rPr>
            <w:rFonts w:ascii="Calibri" w:hAnsi="Calibri" w:cs="Calibri" w:eastAsia="Calibri"/>
            <w:color w:val="0072CC"/>
            <w:sz w:val="20"/>
            <w:szCs w:val="20"/>
            <w:u w:val="single"/>
          </w:rPr>
          <w:t xml:space="preserve">Education Act 1996</w:t>
        </w:r>
      </w:hyperlink>
      <w:r/>
      <w:r/>
    </w:p>
    <w:p>
      <w:pPr>
        <w:spacing w:after="120"/>
        <w:rPr>
          <w:rFonts w:ascii="Calibri" w:hAnsi="Calibri" w:cs="Calibri" w:eastAsia="Calibri"/>
          <w:sz w:val="20"/>
          <w:szCs w:val="20"/>
        </w:rPr>
      </w:pPr>
      <w:r>
        <w:rPr>
          <w:rFonts w:ascii="Calibri" w:hAnsi="Calibri" w:cs="Calibri" w:eastAsia="Calibri"/>
          <w:sz w:val="20"/>
          <w:szCs w:val="20"/>
        </w:rPr>
        <w:t xml:space="preserve">Part 3 of the </w:t>
      </w:r>
      <w:hyperlink r:id="rId14" w:tooltip="https://www.legislation.gov.uk/ukpga/2002/32/contents" w:history="1">
        <w:r>
          <w:rPr>
            <w:rFonts w:ascii="Calibri" w:hAnsi="Calibri" w:cs="Calibri" w:eastAsia="Calibri"/>
            <w:color w:val="0072CC"/>
            <w:sz w:val="20"/>
            <w:szCs w:val="20"/>
            <w:u w:val="single"/>
          </w:rPr>
          <w:t xml:space="preserve">Education Act 2002</w:t>
        </w:r>
      </w:hyperlink>
      <w:r/>
      <w:r/>
    </w:p>
    <w:p>
      <w:pPr>
        <w:spacing w:after="120"/>
        <w:rPr>
          <w:rFonts w:ascii="Calibri" w:hAnsi="Calibri" w:cs="Calibri" w:eastAsia="Calibri"/>
          <w:sz w:val="20"/>
          <w:szCs w:val="20"/>
        </w:rPr>
      </w:pPr>
      <w:r>
        <w:rPr>
          <w:rFonts w:ascii="Calibri" w:hAnsi="Calibri" w:cs="Calibri" w:eastAsia="Calibri"/>
          <w:sz w:val="20"/>
          <w:szCs w:val="20"/>
        </w:rPr>
        <w:t xml:space="preserve">Part 7 of the </w:t>
      </w:r>
      <w:hyperlink r:id="rId15" w:tooltip="https://www.legislation.gov.uk/ukpga/2006/40/contents" w:history="1">
        <w:r>
          <w:rPr>
            <w:rFonts w:ascii="Calibri" w:hAnsi="Calibri" w:cs="Calibri" w:eastAsia="Calibri"/>
            <w:color w:val="0072CC"/>
            <w:sz w:val="20"/>
            <w:szCs w:val="20"/>
            <w:u w:val="single"/>
          </w:rPr>
          <w:t xml:space="preserve">Education and Inspections Act 2006</w:t>
        </w:r>
      </w:hyperlink>
      <w:r/>
      <w:r/>
    </w:p>
    <w:p>
      <w:pPr>
        <w:spacing w:after="120"/>
        <w:rPr>
          <w:rFonts w:ascii="Calibri" w:hAnsi="Calibri" w:cs="Calibri" w:eastAsia="Calibri"/>
          <w:color w:val="0072CC"/>
          <w:sz w:val="20"/>
          <w:szCs w:val="20"/>
          <w:u w:val="single"/>
        </w:rPr>
      </w:pPr>
      <w:r>
        <w:rPr>
          <w:rFonts w:ascii="Calibri" w:hAnsi="Calibri" w:cs="Calibri" w:eastAsia="Calibri"/>
          <w:color w:val="0072CC"/>
          <w:sz w:val="20"/>
          <w:szCs w:val="20"/>
          <w:u w:val="single"/>
        </w:rPr>
        <w:t xml:space="preserve">The Education (Pupil Registration) (England) Regulations 2006 (and 2010, 2011, 2013, and 2016 amendments)</w:t>
      </w:r>
      <w:r/>
    </w:p>
    <w:p>
      <w:pPr>
        <w:spacing w:after="120"/>
        <w:rPr>
          <w:rFonts w:ascii="Calibri" w:hAnsi="Calibri" w:cs="Calibri" w:eastAsia="Calibri"/>
          <w:color w:val="0070C0"/>
          <w:sz w:val="20"/>
          <w:szCs w:val="20"/>
          <w:u w:val="single"/>
        </w:rPr>
      </w:pPr>
      <w:r/>
      <w:hyperlink r:id="rId16" w:tooltip="https://www.legislation.gov.uk/uksi/2024/208/made" w:history="1">
        <w:r>
          <w:rPr>
            <w:rFonts w:ascii="Calibri" w:hAnsi="Calibri" w:cs="Calibri" w:eastAsia="Calibri"/>
            <w:color w:val="0070C0"/>
            <w:sz w:val="20"/>
            <w:szCs w:val="20"/>
            <w:u w:val="single"/>
          </w:rPr>
          <w:t xml:space="preserve">The School Attendance (Pupil Registration) (England) Regulations 2024</w:t>
        </w:r>
      </w:hyperlink>
      <w:r>
        <w:rPr>
          <w:rFonts w:ascii="Calibri" w:hAnsi="Calibri" w:cs="Calibri" w:eastAsia="Calibri"/>
          <w:color w:val="0070C0"/>
          <w:sz w:val="20"/>
          <w:szCs w:val="20"/>
          <w:u w:val="single"/>
        </w:rPr>
        <w:t xml:space="preserve"> </w:t>
      </w:r>
      <w:r/>
    </w:p>
    <w:p>
      <w:pPr>
        <w:spacing w:after="120"/>
        <w:rPr>
          <w:rFonts w:ascii="Calibri" w:hAnsi="Calibri" w:cs="Calibri" w:eastAsia="Calibri"/>
          <w:sz w:val="20"/>
          <w:szCs w:val="20"/>
        </w:rPr>
      </w:pPr>
      <w:r/>
      <w:hyperlink r:id="rId17" w:tooltip="https://www.legislation.gov.uk/uksi/2006/1751/contents" w:history="1">
        <w:r>
          <w:rPr>
            <w:rFonts w:ascii="Calibri" w:hAnsi="Calibri" w:cs="Calibri" w:eastAsia="Calibri"/>
            <w:color w:val="0072CC"/>
            <w:sz w:val="20"/>
            <w:szCs w:val="20"/>
            <w:u w:val="single"/>
          </w:rPr>
          <w:t xml:space="preserve">https://www.legislation.gov.uk/uksi/2006/1751/contents</w:t>
        </w:r>
      </w:hyperlink>
      <w:r/>
      <w:hyperlink r:id="rId18" w:tooltip="https://www.legislation.gov.uk/uksi/2013/757/regulation/2/made" w:history="1">
        <w:r>
          <w:rPr>
            <w:rFonts w:ascii="Calibri" w:hAnsi="Calibri" w:cs="Calibri" w:eastAsia="Calibri"/>
            <w:color w:val="0072CC"/>
            <w:sz w:val="20"/>
            <w:szCs w:val="20"/>
            <w:u w:val="single"/>
          </w:rPr>
          <w:t xml:space="preserve">The Education (Penalty Notices) (England) (Amendment) Regulations 2013 and the 2024 amendment</w:t>
        </w:r>
      </w:hyperlink>
      <w:r/>
      <w:r/>
    </w:p>
    <w:p>
      <w:pPr>
        <w:spacing w:after="120"/>
        <w:rPr>
          <w:rFonts w:ascii="Calibri" w:hAnsi="Calibri" w:cs="Calibri" w:eastAsia="Calibri"/>
          <w:color w:val="0072CC"/>
          <w:sz w:val="20"/>
          <w:szCs w:val="20"/>
          <w:u w:val="single"/>
        </w:rPr>
      </w:pPr>
      <w:r/>
      <w:r>
        <w:fldChar w:fldCharType="begin"/>
      </w:r>
      <w:r>
        <w:instrText xml:space="preserve"> HYPERLINK "https://www.legislation.gov.uk/uksi/2013/757/regulation/2/made" \h </w:instrText>
      </w:r>
      <w:r>
        <w:fldChar w:fldCharType="separate"/>
      </w:r>
      <w:r>
        <w:rPr>
          <w:rFonts w:ascii="Calibri" w:hAnsi="Calibri" w:cs="Calibri" w:eastAsia="Calibri"/>
          <w:color w:val="0563C1"/>
          <w:sz w:val="20"/>
          <w:szCs w:val="20"/>
          <w:u w:val="single"/>
        </w:rPr>
        <w:t xml:space="preserve">https://www.legislation.gov.uk/uksi/2013/757/regulation/2/made</w:t>
      </w:r>
      <w:r>
        <w:rPr>
          <w:rFonts w:ascii="Calibri" w:hAnsi="Calibri" w:cs="Calibri" w:eastAsia="Calibri"/>
          <w:color w:val="0563C1"/>
          <w:sz w:val="20"/>
          <w:szCs w:val="20"/>
          <w:u w:val="single"/>
        </w:rPr>
        <w:fldChar w:fldCharType="end"/>
      </w:r>
      <w:r/>
    </w:p>
    <w:p>
      <w:pPr>
        <w:spacing w:after="120"/>
        <w:rPr>
          <w:rFonts w:ascii="Calibri" w:hAnsi="Calibri" w:cs="Calibri" w:eastAsia="Calibri"/>
          <w:sz w:val="20"/>
          <w:szCs w:val="20"/>
        </w:rPr>
      </w:pPr>
      <w:r>
        <w:rPr>
          <w:rFonts w:ascii="Calibri" w:hAnsi="Calibri" w:cs="Calibri" w:eastAsia="Calibri"/>
          <w:sz w:val="20"/>
          <w:szCs w:val="20"/>
        </w:rPr>
        <w:t xml:space="preserve">It also refers to:</w:t>
      </w:r>
      <w:r/>
    </w:p>
    <w:p>
      <w:pPr>
        <w:spacing w:after="120"/>
        <w:rPr>
          <w:rFonts w:ascii="Calibri" w:hAnsi="Calibri" w:cs="Calibri" w:eastAsia="Calibri"/>
          <w:sz w:val="20"/>
          <w:szCs w:val="20"/>
        </w:rPr>
      </w:pPr>
      <w:r/>
      <w:hyperlink r:id="rId19" w:tooltip="https://www.gov.uk/guidance/complete-the-school-census" w:history="1">
        <w:r>
          <w:rPr>
            <w:rFonts w:ascii="Calibri" w:hAnsi="Calibri" w:cs="Calibri" w:eastAsia="Calibri"/>
            <w:color w:val="0072CC"/>
            <w:sz w:val="20"/>
            <w:szCs w:val="20"/>
            <w:u w:val="single"/>
          </w:rPr>
          <w:t xml:space="preserve">School census guidance</w:t>
        </w:r>
      </w:hyperlink>
      <w:r/>
      <w:r/>
    </w:p>
    <w:p>
      <w:pPr>
        <w:spacing w:after="120"/>
        <w:rPr>
          <w:rFonts w:ascii="Calibri" w:hAnsi="Calibri" w:cs="Calibri" w:eastAsia="Calibri"/>
          <w:sz w:val="20"/>
          <w:szCs w:val="20"/>
        </w:rPr>
      </w:pPr>
      <w:r/>
      <w:hyperlink r:id="rId20" w:tooltip="https://www.gov.uk/government/publications/keeping-children-safe-in-education--2" w:history="1">
        <w:r>
          <w:rPr>
            <w:rFonts w:ascii="Calibri" w:hAnsi="Calibri" w:cs="Calibri" w:eastAsia="Calibri"/>
            <w:color w:val="0072CC"/>
            <w:sz w:val="20"/>
            <w:szCs w:val="20"/>
            <w:u w:val="single"/>
          </w:rPr>
          <w:t xml:space="preserve">Keeping Children Safe in Education</w:t>
        </w:r>
      </w:hyperlink>
      <w:r/>
      <w:r/>
    </w:p>
    <w:p>
      <w:pPr>
        <w:spacing w:after="120"/>
        <w:rPr>
          <w:rFonts w:ascii="Calibri" w:hAnsi="Calibri" w:cs="Calibri" w:eastAsia="Calibri"/>
          <w:sz w:val="20"/>
          <w:szCs w:val="20"/>
        </w:rPr>
      </w:pPr>
      <w:r/>
      <w:hyperlink r:id="rId21" w:tooltip="https://www.gov.uk/government/publications/mental-health-issues-affecting-a-pupils-attendance-guidance-for-schools" w:history="1">
        <w:r>
          <w:rPr>
            <w:rFonts w:ascii="Calibri" w:hAnsi="Calibri" w:cs="Calibri" w:eastAsia="Calibri"/>
            <w:color w:val="0072CC"/>
            <w:sz w:val="20"/>
            <w:szCs w:val="20"/>
            <w:u w:val="single"/>
          </w:rPr>
          <w:t xml:space="preserve">Mental health issues affecting a pupil's attendance: guidance for schools</w:t>
        </w:r>
      </w:hyperlink>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numPr>
          <w:ilvl w:val="0"/>
          <w:numId w:val="1"/>
        </w:numPr>
        <w:jc w:val="both"/>
        <w:rPr>
          <w:rFonts w:ascii="Calibri" w:hAnsi="Calibri" w:cs="Calibri" w:eastAsia="Calibri"/>
          <w:b/>
          <w:color w:val="000000"/>
          <w:u w:val="single"/>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2"/>
          <w:szCs w:val="22"/>
          <w:u w:val="single"/>
        </w:rPr>
        <w:t xml:space="preserve">Roles and responsibilities </w:t>
      </w:r>
      <w:r/>
    </w:p>
    <w:p>
      <w:pPr>
        <w:ind w:left="720"/>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r>
      <w:r/>
    </w:p>
    <w:p>
      <w:pPr>
        <w:ind w:firstLine="360"/>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t xml:space="preserve">3.1 The </w:t>
      </w:r>
      <w:r>
        <w:rPr>
          <w:rFonts w:ascii="Calibri" w:hAnsi="Calibri" w:cs="Calibri" w:eastAsia="Calibri"/>
          <w:b/>
          <w:color w:val="000000"/>
          <w:sz w:val="20"/>
          <w:szCs w:val="20"/>
        </w:rPr>
        <w:t xml:space="preserve">directors</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w:t>
      </w:r>
      <w:r>
        <w:rPr>
          <w:rFonts w:ascii="Calibri" w:hAnsi="Calibri" w:cs="Calibri" w:eastAsia="Calibri"/>
          <w:color w:val="000000"/>
          <w:sz w:val="20"/>
          <w:szCs w:val="20"/>
        </w:rPr>
        <w:t xml:space="preserve">directors are</w:t>
      </w:r>
      <w:r>
        <w:rPr>
          <w:rFonts w:ascii="Calibri" w:hAnsi="Calibri" w:cs="Calibri" w:eastAsia="Calibri"/>
          <w:color w:val="000000"/>
          <w:sz w:val="20"/>
          <w:szCs w:val="20"/>
        </w:rPr>
        <w:t xml:space="preserve"> responsible for:</w:t>
      </w:r>
      <w:r/>
    </w:p>
    <w:p>
      <w:pPr>
        <w:numPr>
          <w:ilvl w:val="0"/>
          <w:numId w:val="25"/>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Setting high expectations of all school leaders, staff, pupils and parents/carers</w:t>
      </w:r>
      <w:r/>
    </w:p>
    <w:p>
      <w:pPr>
        <w:numPr>
          <w:ilvl w:val="0"/>
          <w:numId w:val="23"/>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Making sure school leaders fulfil expectations and statutory duties, including:</w:t>
      </w:r>
      <w:r/>
    </w:p>
    <w:p>
      <w:pPr>
        <w:numPr>
          <w:ilvl w:val="1"/>
          <w:numId w:val="23"/>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Making sure the school records attendance accurately in the register, and shares the required information with the </w:t>
      </w:r>
      <w:r>
        <w:rPr>
          <w:rFonts w:ascii="Calibri" w:hAnsi="Calibri" w:cs="Calibri" w:eastAsia="Calibri"/>
          <w:color w:val="000000"/>
          <w:sz w:val="20"/>
          <w:szCs w:val="20"/>
        </w:rPr>
        <w:t xml:space="preserve">DfE</w:t>
      </w:r>
      <w:r>
        <w:rPr>
          <w:rFonts w:ascii="Calibri" w:hAnsi="Calibri" w:cs="Calibri" w:eastAsia="Calibri"/>
          <w:color w:val="000000"/>
          <w:sz w:val="20"/>
          <w:szCs w:val="20"/>
        </w:rPr>
        <w:t xml:space="preserve"> and local authority</w:t>
      </w:r>
      <w:r/>
    </w:p>
    <w:p>
      <w:pPr>
        <w:numPr>
          <w:ilvl w:val="0"/>
          <w:numId w:val="24"/>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Making sure the school works effectively with local partners to help remove barriers to attendance, and keeps them informed regarding specific pupils, where appropriate</w:t>
      </w:r>
      <w:r/>
    </w:p>
    <w:p>
      <w:pPr>
        <w:numPr>
          <w:ilvl w:val="0"/>
          <w:numId w:val="23"/>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Recognising and promoting the importance of school attendance across the school’s policies and ethos</w:t>
      </w:r>
      <w:r/>
    </w:p>
    <w:p>
      <w:pPr>
        <w:numPr>
          <w:ilvl w:val="0"/>
          <w:numId w:val="23"/>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Making sure the school’s attendance management processes are delivered effectively, and that consistent support is provided for pupils who need it most by prioritising staff and resources</w:t>
      </w:r>
      <w:r/>
    </w:p>
    <w:p>
      <w:pPr>
        <w:numPr>
          <w:ilvl w:val="0"/>
          <w:numId w:val="23"/>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Making sure the school has high aspirations for all pupils, but adapts processes and support to pupils’ individual needs</w:t>
      </w:r>
      <w:r/>
    </w:p>
    <w:p>
      <w:pPr>
        <w:numPr>
          <w:ilvl w:val="0"/>
          <w:numId w:val="23"/>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Regularly reviewing and challenging attendance data and helping school leaders focus improvement efforts on individual pupils or cohorts who need it most</w:t>
      </w:r>
      <w:r/>
    </w:p>
    <w:p>
      <w:pPr>
        <w:numPr>
          <w:ilvl w:val="0"/>
          <w:numId w:val="23"/>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Working with school leaders to set goals or areas of focus for attendance and providing support and challenge</w:t>
      </w:r>
      <w:r/>
    </w:p>
    <w:p>
      <w:pPr>
        <w:numPr>
          <w:ilvl w:val="0"/>
          <w:numId w:val="23"/>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Monitoring attendance figures for the whole school and repeatedly evaluating the effectiveness of the school’s processes and improvement efforts to make sure they are meeting pupils’ needs</w:t>
      </w:r>
      <w:r/>
    </w:p>
    <w:p>
      <w:pPr>
        <w:numPr>
          <w:ilvl w:val="0"/>
          <w:numId w:val="23"/>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Where the school is struggling with attendance, working with school leaders to develop a comprehensive action plan to improve attendance</w:t>
      </w:r>
      <w:r/>
    </w:p>
    <w:p>
      <w:pPr>
        <w:numPr>
          <w:ilvl w:val="0"/>
          <w:numId w:val="23"/>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Making sure all staff receive adequate training on attendance as part of the regular continued professional development offer, so that staff understand:</w:t>
      </w:r>
      <w:r/>
    </w:p>
    <w:p>
      <w:pPr>
        <w:numPr>
          <w:ilvl w:val="0"/>
          <w:numId w:val="24"/>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importance of good attendance</w:t>
      </w:r>
      <w:r/>
    </w:p>
    <w:p>
      <w:pPr>
        <w:numPr>
          <w:ilvl w:val="0"/>
          <w:numId w:val="24"/>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That absence is almost always a symptom of wider issues</w:t>
      </w:r>
      <w:r/>
    </w:p>
    <w:p>
      <w:pPr>
        <w:numPr>
          <w:ilvl w:val="0"/>
          <w:numId w:val="24"/>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school’s legal requirements for keeping registers</w:t>
      </w:r>
      <w:r/>
    </w:p>
    <w:p>
      <w:pPr>
        <w:numPr>
          <w:ilvl w:val="0"/>
          <w:numId w:val="24"/>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school’s strategies and procedures for tracking, following up on and improving attendance, including working with partners and keeping them informed regarding specific pupils, where appropriate</w:t>
      </w:r>
      <w:r/>
    </w:p>
    <w:p>
      <w:pPr>
        <w:numPr>
          <w:ilvl w:val="0"/>
          <w:numId w:val="24"/>
        </w:numPr>
        <w:ind w:left="709" w:hanging="283"/>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Making sure dedicated training is provided to staff with a specific attendance function in their role, including in interpreting and analysing attendance data</w:t>
      </w:r>
      <w:r/>
    </w:p>
    <w:p>
      <w:pPr>
        <w:numPr>
          <w:ilvl w:val="0"/>
          <w:numId w:val="24"/>
        </w:numPr>
        <w:ind w:left="709" w:hanging="283"/>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Holding the head teacher to account for the implementation of this policy</w:t>
      </w:r>
      <w:r/>
    </w:p>
    <w:p>
      <w:pPr>
        <w:ind w:left="709"/>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ind w:firstLine="284"/>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t xml:space="preserve">3.2 The head teacher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head teacher is responsible for: </w:t>
      </w:r>
      <w:r/>
    </w:p>
    <w:p>
      <w:pPr>
        <w:numPr>
          <w:ilvl w:val="0"/>
          <w:numId w:val="2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implementation of this policy at the school </w:t>
      </w:r>
      <w:r/>
    </w:p>
    <w:p>
      <w:pPr>
        <w:numPr>
          <w:ilvl w:val="0"/>
          <w:numId w:val="2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Monitoring school-level absence data and reporting it to governors</w:t>
      </w:r>
      <w:r/>
    </w:p>
    <w:p>
      <w:pPr>
        <w:numPr>
          <w:ilvl w:val="0"/>
          <w:numId w:val="2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Supporting staff with monitoring the attendance of individual pupils</w:t>
      </w:r>
      <w:r/>
    </w:p>
    <w:p>
      <w:pPr>
        <w:numPr>
          <w:ilvl w:val="0"/>
          <w:numId w:val="2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Monitoring the impact of any implemented attendance strategies </w:t>
      </w:r>
      <w:r/>
    </w:p>
    <w:p>
      <w:pPr>
        <w:numPr>
          <w:ilvl w:val="0"/>
          <w:numId w:val="2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Issuing fixed-penalty notices, where necessary, and/or authorising [role] to be able to do so</w:t>
      </w:r>
      <w:r/>
    </w:p>
    <w:p>
      <w:pPr>
        <w:numPr>
          <w:ilvl w:val="0"/>
          <w:numId w:val="2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Working with the parents/carer</w:t>
      </w:r>
      <w:r>
        <w:rPr>
          <w:rFonts w:ascii="Calibri" w:hAnsi="Calibri" w:cs="Calibri" w:eastAsia="Calibri"/>
          <w:color w:val="000000"/>
          <w:sz w:val="20"/>
          <w:szCs w:val="20"/>
        </w:rPr>
        <w:t xml:space="preserve">s of pupils with special educational needs and/or disabilities (SEND) to develop specific support approaches for attendance for pupils with SEND, including where school transport is regularly being missed, and where pupils with SEND face in-school barriers</w:t>
      </w:r>
      <w:r/>
    </w:p>
    <w:p>
      <w:pPr>
        <w:numPr>
          <w:ilvl w:val="0"/>
          <w:numId w:val="2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Communicating with the local authority when a pupil with an education, health and care (EHC) plan has falling attendance, or where there are barriers to attendance that relate to the pupil’s needs</w:t>
      </w:r>
      <w:r/>
    </w:p>
    <w:p>
      <w:pPr>
        <w:numPr>
          <w:ilvl w:val="0"/>
          <w:numId w:val="2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Communicating the school’s high expectations for attendance and punctuality regularly to pupils and parents/carers through all available channels</w:t>
      </w:r>
      <w:r/>
    </w:p>
    <w:p>
      <w:pPr>
        <w:numPr>
          <w:ilvl w:val="0"/>
          <w:numId w:val="2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Sharing information from the school register with the local authority, including:</w:t>
      </w:r>
      <w:r/>
    </w:p>
    <w:p>
      <w:pPr>
        <w:numPr>
          <w:ilvl w:val="1"/>
          <w:numId w:val="2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Notifying the local authority when a pupil’s name is added to or deleted from the school admission register outside of standard transition times</w:t>
      </w:r>
      <w:r/>
    </w:p>
    <w:p>
      <w:pPr>
        <w:numPr>
          <w:ilvl w:val="1"/>
          <w:numId w:val="2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Providing the local authority with the details of pupils who fail to attend school regularly, or who have been marked with an unauthorised absence for a continuous period of 10 school days </w:t>
      </w:r>
      <w:r/>
    </w:p>
    <w:p>
      <w:pPr>
        <w:numPr>
          <w:ilvl w:val="1"/>
          <w:numId w:val="2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Providing the local authority with the details of pupils who the school believes will miss 15 days consecutively or cumulatively because of sickness</w:t>
      </w:r>
      <w:r/>
    </w:p>
    <w:p>
      <w:pPr>
        <w:ind w:left="1440"/>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t xml:space="preserve">3.3 The designated senior leader responsible for attendance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designated senior leader (also known as the ‘senior attendance champion’) is responsible for:</w:t>
      </w:r>
      <w:r/>
    </w:p>
    <w:p>
      <w:pPr>
        <w:numPr>
          <w:ilvl w:val="0"/>
          <w:numId w:val="2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Leading, championing and improving attendance across the school</w:t>
      </w:r>
      <w:r/>
    </w:p>
    <w:p>
      <w:pPr>
        <w:numPr>
          <w:ilvl w:val="0"/>
          <w:numId w:val="2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Setting a clear vision for improving and maintaining good attendance</w:t>
      </w:r>
      <w:r/>
    </w:p>
    <w:p>
      <w:pPr>
        <w:numPr>
          <w:ilvl w:val="0"/>
          <w:numId w:val="2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Evaluating and monitoring expectations and processes</w:t>
      </w:r>
      <w:r/>
    </w:p>
    <w:p>
      <w:pPr>
        <w:numPr>
          <w:ilvl w:val="0"/>
          <w:numId w:val="2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Having a strong grasp of absence data and oversight of absence data analysis</w:t>
      </w:r>
      <w:r/>
    </w:p>
    <w:p>
      <w:pPr>
        <w:numPr>
          <w:ilvl w:val="0"/>
          <w:numId w:val="2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Regularly monitoring and evaluating progress in attendance </w:t>
      </w:r>
      <w:r/>
    </w:p>
    <w:p>
      <w:pPr>
        <w:numPr>
          <w:ilvl w:val="0"/>
          <w:numId w:val="2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Establishing and maintaining effective systems for tackling absence, and making sure they are followed by all staff</w:t>
      </w:r>
      <w:r/>
    </w:p>
    <w:p>
      <w:pPr>
        <w:numPr>
          <w:ilvl w:val="0"/>
          <w:numId w:val="2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Liaising with pupils, parents/carers and external agencies, where needed</w:t>
      </w:r>
      <w:r/>
    </w:p>
    <w:p>
      <w:pPr>
        <w:numPr>
          <w:ilvl w:val="0"/>
          <w:numId w:val="2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Building close and productive relationships with parents/carers to discuss and tackle attendance issues</w:t>
      </w:r>
      <w:r/>
    </w:p>
    <w:p>
      <w:pPr>
        <w:numPr>
          <w:ilvl w:val="0"/>
          <w:numId w:val="2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Creating intervention or reintegration plans in partnership with pupils and their parents/carers</w:t>
      </w:r>
      <w:r/>
    </w:p>
    <w:p>
      <w:pPr>
        <w:numPr>
          <w:ilvl w:val="0"/>
          <w:numId w:val="2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Delivering targeted intervention and support to pupils and families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designated senior leader responsible for attendance is Elizabeth Dennis/Paula Wynn. These members of staff can be contacted via </w:t>
      </w:r>
      <w:hyperlink r:id="rId22" w:tooltip="about:blank" w:history="1">
        <w:r>
          <w:rPr>
            <w:rFonts w:ascii="Calibri" w:hAnsi="Calibri" w:cs="Calibri" w:eastAsia="Calibri"/>
            <w:color w:val="0563C1"/>
            <w:sz w:val="20"/>
            <w:szCs w:val="20"/>
            <w:u w:val="single"/>
          </w:rPr>
          <w:t xml:space="preserve">edennis@ontrackeducation.com/pwynn@ontrackeducation.com</w:t>
        </w:r>
      </w:hyperlink>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t xml:space="preserve">3.4 Form </w:t>
      </w:r>
      <w:r>
        <w:rPr>
          <w:rFonts w:ascii="Calibri" w:hAnsi="Calibri" w:cs="Calibri" w:eastAsia="Calibri"/>
          <w:b/>
          <w:color w:val="000000"/>
          <w:sz w:val="20"/>
          <w:szCs w:val="20"/>
        </w:rPr>
        <w:t xml:space="preserve">tutors</w:t>
      </w:r>
      <w:r>
        <w:rPr>
          <w:rFonts w:ascii="Calibri" w:hAnsi="Calibri" w:cs="Calibri" w:eastAsia="Calibri"/>
          <w:b/>
          <w:color w:val="000000"/>
          <w:sz w:val="20"/>
          <w:szCs w:val="20"/>
        </w:rPr>
        <w:t xml:space="preserve">/Class teachers</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Form tutor/class teachers</w:t>
      </w:r>
      <w:r>
        <w:rPr>
          <w:rFonts w:ascii="Calibri" w:hAnsi="Calibri" w:cs="Calibri" w:eastAsia="Calibri"/>
          <w:color w:val="000000"/>
          <w:sz w:val="20"/>
          <w:szCs w:val="20"/>
        </w:rPr>
        <w:t xml:space="preserve"> are responsible for recording attendance for both morning and afternoon sessions on a daily basis, using the correct codes (see Appendix 1), and submitting this information via the school system between 9am and 9.30am, and then between 12.55pm and 1.25pm.</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numPr>
          <w:ilvl w:val="1"/>
          <w:numId w:val="1"/>
        </w:numPr>
        <w:ind w:left="284" w:hanging="284"/>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t xml:space="preserve">School admin staff</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School admin staff will:</w:t>
      </w:r>
      <w:r/>
    </w:p>
    <w:p>
      <w:pPr>
        <w:numPr>
          <w:ilvl w:val="0"/>
          <w:numId w:val="2"/>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Take calls from parents/carers about absence or contact parents/carers when asked to on a day-to-day basis and record these on the school system</w:t>
      </w:r>
      <w:r/>
    </w:p>
    <w:p>
      <w:pPr>
        <w:numPr>
          <w:ilvl w:val="0"/>
          <w:numId w:val="2"/>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Transfer calls from parents/carers to the relevant staff member where appropriate, in order to provide them with more detailed support on attendance </w:t>
      </w:r>
      <w:r/>
    </w:p>
    <w:p>
      <w:pPr>
        <w:numPr>
          <w:ilvl w:val="0"/>
          <w:numId w:val="2"/>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Contact any alternative provision or work experience providers at </w:t>
      </w:r>
      <w:r>
        <w:rPr>
          <w:rFonts w:ascii="Calibri" w:hAnsi="Calibri" w:cs="Calibri" w:eastAsia="Calibri"/>
          <w:color w:val="000000"/>
          <w:sz w:val="20"/>
          <w:szCs w:val="20"/>
        </w:rPr>
        <w:t xml:space="preserve">expected time of arrival </w:t>
      </w:r>
      <w:r>
        <w:rPr>
          <w:rFonts w:ascii="Calibri" w:hAnsi="Calibri" w:cs="Calibri" w:eastAsia="Calibri"/>
          <w:color w:val="000000"/>
          <w:sz w:val="20"/>
          <w:szCs w:val="20"/>
        </w:rPr>
        <w:t xml:space="preserve">on a daily basis to ensure accurate recording of attendance codes.</w:t>
      </w:r>
      <w:r/>
    </w:p>
    <w:p>
      <w:pPr>
        <w:ind w:left="720"/>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t xml:space="preserve">3.6 Parents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Where this policy refers to a parent, it refers to the adult the school and/or local authority that the school decides is most appropriate to work with, including:</w:t>
      </w:r>
      <w:r/>
    </w:p>
    <w:p>
      <w:pPr>
        <w:numPr>
          <w:ilvl w:val="0"/>
          <w:numId w:val="3"/>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All natural parents, whether they are married or not</w:t>
      </w:r>
      <w:r/>
    </w:p>
    <w:p>
      <w:pPr>
        <w:numPr>
          <w:ilvl w:val="0"/>
          <w:numId w:val="3"/>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All those who have parental responsibility for a child or young person</w:t>
      </w:r>
      <w:r/>
    </w:p>
    <w:p>
      <w:pPr>
        <w:numPr>
          <w:ilvl w:val="0"/>
          <w:numId w:val="3"/>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Those who have day-to-day responsibility for the child (i.e. lives with and looks after them)</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Parents are expected to:</w:t>
      </w:r>
      <w:r/>
    </w:p>
    <w:p>
      <w:pPr>
        <w:numPr>
          <w:ilvl w:val="0"/>
          <w:numId w:val="4"/>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Make sure their child attends every day on time</w:t>
      </w:r>
      <w:r/>
    </w:p>
    <w:p>
      <w:pPr>
        <w:numPr>
          <w:ilvl w:val="0"/>
          <w:numId w:val="4"/>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Call the school to report their child’s absence before 9am on the day of the absence and each subsequent day of absence, and advise when they are expected to return</w:t>
      </w:r>
      <w:r/>
    </w:p>
    <w:p>
      <w:pPr>
        <w:numPr>
          <w:ilvl w:val="0"/>
          <w:numId w:val="4"/>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Provide the school with more than 1 emergency contact number for their child</w:t>
      </w:r>
      <w:r/>
    </w:p>
    <w:p>
      <w:pPr>
        <w:numPr>
          <w:ilvl w:val="0"/>
          <w:numId w:val="4"/>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Ensure that, where possible, appointments for their child are made outside of the school day</w:t>
      </w:r>
      <w:r/>
    </w:p>
    <w:p>
      <w:pPr>
        <w:numPr>
          <w:ilvl w:val="0"/>
          <w:numId w:val="4"/>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Keep to any attendance contracts that they make with the school and/or local authority</w:t>
      </w:r>
      <w:r/>
    </w:p>
    <w:p>
      <w:pPr>
        <w:numPr>
          <w:ilvl w:val="0"/>
          <w:numId w:val="4"/>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Seek support, where necessary, for maintaining good attendance</w:t>
      </w:r>
      <w:r/>
    </w:p>
    <w:p>
      <w:pPr>
        <w:ind w:left="720"/>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t xml:space="preserve">3.7 Pupils</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Pupils are expected to attend every timetabled session, on time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 </w:t>
      </w:r>
      <w:r>
        <w:rPr>
          <w:rFonts w:ascii="Calibri" w:hAnsi="Calibri" w:cs="Calibri" w:eastAsia="Calibri"/>
          <w:color w:val="000000"/>
          <w:sz w:val="20"/>
          <w:szCs w:val="20"/>
        </w:rPr>
        <w:tab/>
      </w:r>
      <w:r/>
    </w:p>
    <w:p>
      <w:pPr>
        <w:numPr>
          <w:ilvl w:val="0"/>
          <w:numId w:val="1"/>
        </w:numPr>
        <w:jc w:val="both"/>
        <w:rPr>
          <w:rFonts w:ascii="Calibri" w:hAnsi="Calibri" w:cs="Calibri" w:eastAsia="Calibri"/>
          <w:b/>
          <w:color w:val="000000"/>
          <w:u w:val="single"/>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2"/>
          <w:szCs w:val="22"/>
          <w:u w:val="single"/>
        </w:rPr>
        <w:t xml:space="preserve">Recording attendance</w:t>
      </w:r>
      <w:r/>
    </w:p>
    <w:p>
      <w:pPr>
        <w:ind w:left="720"/>
        <w:jc w:val="both"/>
        <w:rPr>
          <w:rFonts w:ascii="Calibri" w:hAnsi="Calibri" w:cs="Calibri" w:eastAsia="Calibri"/>
          <w:b/>
          <w:color w:val="000000"/>
          <w:sz w:val="22"/>
          <w:szCs w:val="22"/>
          <w:u w:val="single"/>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2"/>
          <w:szCs w:val="22"/>
          <w:u w:val="single"/>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t xml:space="preserve">4.1 Attendance register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We will keep an electronic attendance register, and place all pupils onto this register.</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We will take our attendance register at the</w:t>
      </w:r>
      <w:r>
        <w:rPr>
          <w:rFonts w:ascii="Calibri" w:hAnsi="Calibri" w:cs="Calibri" w:eastAsia="Calibri"/>
          <w:color w:val="000000"/>
          <w:sz w:val="20"/>
          <w:szCs w:val="20"/>
        </w:rPr>
        <w:t xml:space="preserve"> start of the first session of each school day and once during the second session. It will mark, using the appropriate national attendance and absence codes from the School Attendance (Pupil Registration) (England) Regulations 2024, whether every pupil is:</w:t>
      </w:r>
      <w:r/>
    </w:p>
    <w:p>
      <w:pPr>
        <w:numPr>
          <w:ilvl w:val="0"/>
          <w:numId w:val="5"/>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Present</w:t>
      </w:r>
      <w:r/>
    </w:p>
    <w:p>
      <w:pPr>
        <w:numPr>
          <w:ilvl w:val="0"/>
          <w:numId w:val="5"/>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Attending an approved off-site educational activity</w:t>
      </w:r>
      <w:r/>
    </w:p>
    <w:p>
      <w:pPr>
        <w:numPr>
          <w:ilvl w:val="0"/>
          <w:numId w:val="5"/>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Absent</w:t>
      </w:r>
      <w:r/>
    </w:p>
    <w:p>
      <w:pPr>
        <w:numPr>
          <w:ilvl w:val="0"/>
          <w:numId w:val="5"/>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Unable to attend due to exceptional circumstances</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Any amendment to the attendance register will include:</w:t>
      </w:r>
      <w:r/>
    </w:p>
    <w:p>
      <w:pPr>
        <w:numPr>
          <w:ilvl w:val="0"/>
          <w:numId w:val="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original entry</w:t>
      </w:r>
      <w:r/>
    </w:p>
    <w:p>
      <w:pPr>
        <w:numPr>
          <w:ilvl w:val="0"/>
          <w:numId w:val="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amended entry </w:t>
      </w:r>
      <w:r/>
    </w:p>
    <w:p>
      <w:pPr>
        <w:numPr>
          <w:ilvl w:val="0"/>
          <w:numId w:val="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reason for the amendment</w:t>
      </w:r>
      <w:r/>
    </w:p>
    <w:p>
      <w:pPr>
        <w:numPr>
          <w:ilvl w:val="0"/>
          <w:numId w:val="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date on which the amendment was made </w:t>
      </w:r>
      <w:r/>
    </w:p>
    <w:p>
      <w:pPr>
        <w:numPr>
          <w:ilvl w:val="0"/>
          <w:numId w:val="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name and position of the person who made the amendment</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See Appendix 1 for the </w:t>
      </w:r>
      <w:r>
        <w:rPr>
          <w:rFonts w:ascii="Calibri" w:hAnsi="Calibri" w:cs="Calibri" w:eastAsia="Calibri"/>
          <w:color w:val="000000"/>
          <w:sz w:val="20"/>
          <w:szCs w:val="20"/>
        </w:rPr>
        <w:t xml:space="preserve">DfE</w:t>
      </w:r>
      <w:r>
        <w:rPr>
          <w:rFonts w:ascii="Calibri" w:hAnsi="Calibri" w:cs="Calibri" w:eastAsia="Calibri"/>
          <w:color w:val="000000"/>
          <w:sz w:val="20"/>
          <w:szCs w:val="20"/>
        </w:rPr>
        <w:t xml:space="preserve"> attendance codes.</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We will also record:</w:t>
      </w:r>
      <w:r/>
    </w:p>
    <w:p>
      <w:pPr>
        <w:numPr>
          <w:ilvl w:val="0"/>
          <w:numId w:val="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Whether the absence is authorised or not</w:t>
      </w:r>
      <w:r/>
    </w:p>
    <w:p>
      <w:pPr>
        <w:numPr>
          <w:ilvl w:val="0"/>
          <w:numId w:val="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nature of the activity, where a pupil is attending an approved educational activity</w:t>
      </w:r>
      <w:r/>
    </w:p>
    <w:p>
      <w:pPr>
        <w:numPr>
          <w:ilvl w:val="0"/>
          <w:numId w:val="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nature of circumstances, where a pupil is unable to attend due to exceptional circumstances</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We will keep every entry on the attendance register for 6 years after the date on which the entry was made.</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school day starts at 9am and ends at 2.15pm.</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register for the first session will be taken at 9am and will be kept open until 9.30am. The register for the second session will be taken at 12.55pm and will be kept open until 1.25pm.</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t xml:space="preserve">4.2 Lateness and punctuality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 pupil who arrives late, </w:t>
      </w:r>
      <w:r>
        <w:rPr>
          <w:rFonts w:ascii="Calibri" w:hAnsi="Calibri" w:cs="Calibri" w:eastAsia="Calibri"/>
          <w:color w:val="000000"/>
          <w:sz w:val="20"/>
          <w:szCs w:val="20"/>
        </w:rPr>
        <w:t xml:space="preserve">which is 30 minutes after</w:t>
      </w:r>
      <w:r>
        <w:rPr>
          <w:rFonts w:ascii="Calibri" w:hAnsi="Calibri" w:cs="Calibri" w:eastAsia="Calibri"/>
          <w:color w:val="000000"/>
          <w:sz w:val="20"/>
          <w:szCs w:val="20"/>
        </w:rPr>
        <w:t xml:space="preserve"> the</w:t>
      </w:r>
      <w:r>
        <w:rPr>
          <w:rFonts w:ascii="Calibri" w:hAnsi="Calibri" w:cs="Calibri" w:eastAsia="Calibri"/>
          <w:color w:val="000000"/>
          <w:sz w:val="20"/>
          <w:szCs w:val="20"/>
        </w:rPr>
        <w:t xml:space="preserve"> register closes</w:t>
      </w:r>
      <w:r>
        <w:rPr>
          <w:rFonts w:ascii="Calibri" w:hAnsi="Calibri" w:cs="Calibri" w:eastAsia="Calibri"/>
          <w:color w:val="000000"/>
          <w:sz w:val="20"/>
          <w:szCs w:val="20"/>
        </w:rPr>
        <w:t xml:space="preserve">:</w:t>
      </w:r>
      <w:r/>
    </w:p>
    <w:p>
      <w:pPr>
        <w:numPr>
          <w:ilvl w:val="0"/>
          <w:numId w:val="8"/>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Before the register has closed will be marked as late, using the appropriate code</w:t>
      </w:r>
      <w:r/>
    </w:p>
    <w:p>
      <w:pPr>
        <w:numPr>
          <w:ilvl w:val="0"/>
          <w:numId w:val="8"/>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After the register has closed will be marked as absent, using the appropriate code</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numPr>
          <w:ilvl w:val="0"/>
          <w:numId w:val="1"/>
        </w:numPr>
        <w:jc w:val="both"/>
        <w:rPr>
          <w:rFonts w:ascii="Calibri" w:hAnsi="Calibri" w:cs="Calibri" w:eastAsia="Calibri"/>
          <w:b/>
          <w:color w:val="000000"/>
          <w:u w:val="single"/>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2"/>
          <w:szCs w:val="22"/>
          <w:u w:val="single"/>
        </w:rPr>
        <w:t xml:space="preserve">Recording and responding to absences</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t xml:space="preserve">5.1 Planned absence</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Attending a medical or dental appointment will be counted as authorised as long as the pupil’s parent notifies the school in advance of the appointment.</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However, we encourage parents to make medical and dental appointments out of school hours where possible. Where this is not possible, the pupil should be out of school for the minimum amount of time necessary.</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pupil’s parent must also apply for other types of term-time absence as far in advance as possible of the requested absence. Go to section 6 to find out which term-time absences the school can authorise. </w:t>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t xml:space="preserve">5.2 Unplanned absence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pupil’s parent must notify the school of the reason for the absence on the first day of an unplanned absence by 9am, or as soon as practically possible, by calling the school office staff, who can be contacted via 01327 366926 and </w:t>
      </w:r>
      <w:hyperlink r:id="rId23" w:tooltip="mailto:silverstoneoffice@ontrackeducation.com" w:history="1">
        <w:r>
          <w:rPr>
            <w:rFonts w:ascii="Calibri" w:hAnsi="Calibri" w:cs="Calibri" w:eastAsia="Calibri"/>
            <w:color w:val="0563C1"/>
            <w:sz w:val="20"/>
            <w:szCs w:val="20"/>
            <w:u w:val="single"/>
          </w:rPr>
          <w:t xml:space="preserve">silverstoneoffice@ontrackeducation.com</w:t>
        </w:r>
      </w:hyperlink>
      <w:r>
        <w:rPr>
          <w:rFonts w:ascii="Calibri" w:hAnsi="Calibri" w:cs="Calibri" w:eastAsia="Calibri"/>
          <w:color w:val="000000"/>
          <w:sz w:val="20"/>
          <w:szCs w:val="20"/>
        </w:rPr>
        <w:t xml:space="preserve">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We will mark absence due to physical or mental illness as authorised, unless the school has a genuine concern about the authenticity of the illness.</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Where the absence is longer than</w:t>
      </w:r>
      <w:r>
        <w:rPr>
          <w:rFonts w:ascii="Calibri" w:hAnsi="Calibri" w:cs="Calibri" w:eastAsia="Calibri"/>
          <w:color w:val="000000"/>
          <w:sz w:val="20"/>
          <w:szCs w:val="20"/>
        </w:rPr>
        <w:t xml:space="preserve"> 5 days, or there are doubts about the authenticity of the illness, the school will ask for medical evidence, such as a doctor’s note, prescription, appointment card or other appropriate form of evidence. We will not ask for medical evidence unnecessarily.</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If the school is not satisfied about the authenticity of the illness, the absence will be recorded as unauthorised and parents will be notified of this in advance.</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t xml:space="preserve">5.3  Following</w:t>
      </w:r>
      <w:r>
        <w:rPr>
          <w:rFonts w:ascii="Calibri" w:hAnsi="Calibri" w:cs="Calibri" w:eastAsia="Calibri"/>
          <w:b/>
          <w:color w:val="000000"/>
          <w:sz w:val="20"/>
          <w:szCs w:val="20"/>
        </w:rPr>
        <w:t xml:space="preserve"> up unexplained absence</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Where any pupil we expect to attend school does not attend, or stops attending, without reason, the school will:</w:t>
      </w:r>
      <w:r/>
    </w:p>
    <w:p>
      <w:pPr>
        <w:numPr>
          <w:ilvl w:val="0"/>
          <w:numId w:val="9"/>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Call the pupil’s parent/carer on the morning of the first day of unexplained absence to ascertain the reason. This contact will be recorded. If the school cannot reach any of the pupil’s emergency contacts, the school may contact the police </w:t>
      </w:r>
      <w:r/>
    </w:p>
    <w:p>
      <w:pPr>
        <w:numPr>
          <w:ilvl w:val="0"/>
          <w:numId w:val="9"/>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Identify whether the absence is approved or not</w:t>
      </w:r>
      <w:r/>
    </w:p>
    <w:p>
      <w:pPr>
        <w:numPr>
          <w:ilvl w:val="0"/>
          <w:numId w:val="9"/>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Identify the correct attendance code to use and input it as soon as the reason for absence is ascertained – this will be no later than 5 working days after the session(s) for which the pupil was absent </w:t>
      </w:r>
      <w:r/>
    </w:p>
    <w:p>
      <w:pPr>
        <w:numPr>
          <w:ilvl w:val="0"/>
          <w:numId w:val="9"/>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Call the parent/carer on each day that the absence continues without explanation. Any safeguarding concerns relating to a pupil’s absence should be managed appropriately.</w:t>
      </w:r>
      <w:r/>
    </w:p>
    <w:p>
      <w:pPr>
        <w:numPr>
          <w:ilvl w:val="0"/>
          <w:numId w:val="9"/>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Carry out welfare checks for pupils that have been absent for 5 days unauthorised absence or where there has been no contact made by parents or carers. </w:t>
      </w:r>
      <w:r/>
    </w:p>
    <w:p>
      <w:pPr>
        <w:numPr>
          <w:ilvl w:val="0"/>
          <w:numId w:val="9"/>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Where appropriate, report the unexplained absence to partner agencies and education welfare services. </w:t>
      </w:r>
      <w:r/>
    </w:p>
    <w:p>
      <w:pPr>
        <w:numPr>
          <w:ilvl w:val="0"/>
          <w:numId w:val="9"/>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Where appropriate, offer support to the pupil and/or their parents to improve attendance and make any necessary referrals</w:t>
      </w:r>
      <w:r/>
    </w:p>
    <w:p>
      <w:pPr>
        <w:numPr>
          <w:ilvl w:val="0"/>
          <w:numId w:val="9"/>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Where support is not appropriate, not successful, or not engaged with, issue a notice to improve, penalty notice or other legal intervention (see section 5.2 below), as appropriate</w:t>
      </w:r>
      <w:r/>
    </w:p>
    <w:p>
      <w:pPr>
        <w:ind w:left="720"/>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numPr>
          <w:ilvl w:val="0"/>
          <w:numId w:val="1"/>
        </w:numPr>
        <w:jc w:val="both"/>
        <w:rPr>
          <w:rFonts w:ascii="Calibri" w:hAnsi="Calibri" w:cs="Calibri" w:eastAsia="Calibri"/>
          <w:b/>
          <w:color w:val="000000"/>
          <w:u w:val="single"/>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2"/>
          <w:szCs w:val="22"/>
          <w:u w:val="single"/>
        </w:rPr>
        <w:t xml:space="preserve">Supporting pupils who are absent or returning to school</w:t>
      </w:r>
      <w:r/>
    </w:p>
    <w:p>
      <w:pPr>
        <w:ind w:left="720"/>
        <w:jc w:val="both"/>
        <w:rPr>
          <w:rFonts w:ascii="Calibri" w:hAnsi="Calibri" w:cs="Calibri" w:eastAsia="Calibri"/>
          <w:b/>
          <w:color w:val="000000"/>
          <w:sz w:val="22"/>
          <w:szCs w:val="22"/>
          <w:u w:val="single"/>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2"/>
          <w:szCs w:val="22"/>
          <w:u w:val="single"/>
        </w:rPr>
      </w:r>
      <w:r/>
    </w:p>
    <w:p>
      <w:pPr>
        <w:ind w:left="426"/>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Our setting recognises that some pupils may find it harder than others to attend school, and we are committed</w:t>
      </w:r>
      <w:r>
        <w:rPr>
          <w:rFonts w:ascii="Calibri" w:hAnsi="Calibri" w:cs="Calibri" w:eastAsia="Calibri"/>
          <w:color w:val="000000"/>
          <w:sz w:val="20"/>
          <w:szCs w:val="20"/>
        </w:rPr>
        <w:t xml:space="preserve"> to working with those pupils and parents/carers to try to remove barriers to attendance by building strong and trusting relationships, and working together to put the right support in place. This might be needed for pupils who are absent due to a complex </w:t>
      </w:r>
      <w:r>
        <w:rPr>
          <w:rFonts w:ascii="Calibri" w:hAnsi="Calibri" w:cs="Calibri" w:eastAsia="Calibri"/>
          <w:color w:val="000000"/>
          <w:sz w:val="20"/>
          <w:szCs w:val="20"/>
        </w:rPr>
        <w:t xml:space="preserve">range of factors, who are absent due to physical or mental ill health or as a result of their additional needs or who are returning to school after a lengthy period of absence.</w:t>
      </w:r>
      <w:r/>
    </w:p>
    <w:p>
      <w:pPr>
        <w:ind w:left="426"/>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ind w:left="426"/>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u w:val="single"/>
        </w:rPr>
        <w:t xml:space="preserve">6.1 Strategies and Interventions</w:t>
      </w:r>
      <w:r>
        <w:rPr>
          <w:rFonts w:ascii="Calibri" w:hAnsi="Calibri" w:cs="Calibri" w:eastAsia="Calibri"/>
          <w:color w:val="000000"/>
          <w:sz w:val="20"/>
          <w:szCs w:val="20"/>
        </w:rPr>
        <w:t xml:space="preserve"> </w:t>
      </w:r>
      <w:r/>
    </w:p>
    <w:p>
      <w:pPr>
        <w:ind w:left="426"/>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 range of strategies and interventions will be considered to effect positive change in attendance and these will be implemented based on individual need and contextual factors. </w:t>
      </w:r>
      <w:r/>
    </w:p>
    <w:p>
      <w:pPr>
        <w:ind w:left="426"/>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ind w:left="426"/>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These strategies/interventions may include, but are not limited to:</w:t>
      </w:r>
      <w:r/>
    </w:p>
    <w:p>
      <w:pPr>
        <w:numPr>
          <w:ilvl w:val="0"/>
          <w:numId w:val="21"/>
        </w:numPr>
        <w:ind w:left="709" w:hanging="283"/>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Tutor communication with parents/carers to alert them of an attendance concern and offer support, and to advise about the importance of attendance.</w:t>
      </w:r>
      <w:r/>
    </w:p>
    <w:p>
      <w:pPr>
        <w:numPr>
          <w:ilvl w:val="0"/>
          <w:numId w:val="21"/>
        </w:numPr>
        <w:ind w:left="709" w:hanging="283"/>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Contact from family liaison team and/or designated senior leader – invite to an attendance meeting at mutually convenient venue or online, to offer support/ascertain any barriers to attendance</w:t>
      </w:r>
      <w:r/>
    </w:p>
    <w:p>
      <w:pPr>
        <w:numPr>
          <w:ilvl w:val="0"/>
          <w:numId w:val="21"/>
        </w:numPr>
        <w:ind w:left="709" w:hanging="283"/>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Ensure that specific support approaches for pupils with special educational needs and disabilities and medical conditions are effective and appropriate and modify if needed to ensure provision outlined in the EHCP is accessed</w:t>
      </w:r>
      <w:r/>
    </w:p>
    <w:p>
      <w:pPr>
        <w:numPr>
          <w:ilvl w:val="0"/>
          <w:numId w:val="21"/>
        </w:numPr>
        <w:ind w:left="709" w:hanging="283"/>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Increase in wellbeing sessions, other identified individualised ‘hooks’ for students, to improve students’ interactions and connections with learning, school, peers and trusted adults</w:t>
      </w:r>
      <w:r/>
    </w:p>
    <w:p>
      <w:pPr>
        <w:numPr>
          <w:ilvl w:val="0"/>
          <w:numId w:val="21"/>
        </w:numPr>
        <w:ind w:left="709" w:hanging="283"/>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Increase or change to support in school or changes to routines for break/lunchtimes</w:t>
      </w:r>
      <w:r/>
    </w:p>
    <w:p>
      <w:pPr>
        <w:numPr>
          <w:ilvl w:val="0"/>
          <w:numId w:val="21"/>
        </w:numPr>
        <w:ind w:left="709" w:hanging="283"/>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Reasonable adjustments to transport or arrival and departure routines</w:t>
      </w:r>
      <w:r/>
    </w:p>
    <w:p>
      <w:pPr>
        <w:numPr>
          <w:ilvl w:val="0"/>
          <w:numId w:val="21"/>
        </w:numPr>
        <w:ind w:left="709" w:hanging="283"/>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Put a temporary alternative education provision, reduced timetable or phased return in place to increase attendance and engagement</w:t>
      </w:r>
      <w:r/>
    </w:p>
    <w:p>
      <w:pPr>
        <w:numPr>
          <w:ilvl w:val="0"/>
          <w:numId w:val="21"/>
        </w:numPr>
        <w:ind w:left="709" w:hanging="283"/>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Seek relevant external advice and support e.g. early help services, health services, local authority attendance services</w:t>
      </w:r>
      <w:r/>
    </w:p>
    <w:p>
      <w:pPr>
        <w:numPr>
          <w:ilvl w:val="0"/>
          <w:numId w:val="21"/>
        </w:numPr>
        <w:ind w:left="709" w:hanging="283"/>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Arrange for an emergency annual review to bring parents/carers and professionals together to consider attendance concerns and their impact on effective education for the pupil</w:t>
      </w:r>
      <w:r/>
    </w:p>
    <w:p>
      <w:pPr>
        <w:jc w:val="both"/>
        <w:rPr>
          <w:rFonts w:ascii="Calibri" w:hAnsi="Calibri" w:cs="Calibri" w:eastAsia="Calibri"/>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sz w:val="20"/>
          <w:szCs w:val="20"/>
        </w:rPr>
      </w:r>
      <w:r/>
    </w:p>
    <w:p>
      <w:pPr>
        <w:jc w:val="both"/>
        <w:rPr>
          <w:rFonts w:ascii="Calibri" w:hAnsi="Calibri" w:cs="Calibri" w:eastAsia="Calibri"/>
          <w:b/>
          <w:sz w:val="20"/>
          <w:szCs w:val="20"/>
        </w:rPr>
      </w:pPr>
      <w:r>
        <w:rPr>
          <w:rFonts w:ascii="Calibri" w:hAnsi="Calibri" w:cs="Calibri" w:eastAsia="Calibri"/>
          <w:b/>
          <w:sz w:val="20"/>
          <w:szCs w:val="20"/>
        </w:rPr>
        <w:t xml:space="preserve">6.2 </w:t>
      </w:r>
      <w:r>
        <w:rPr>
          <w:rFonts w:ascii="Calibri" w:hAnsi="Calibri" w:cs="Calibri" w:eastAsia="Calibri"/>
          <w:b/>
          <w:sz w:val="20"/>
          <w:szCs w:val="20"/>
        </w:rPr>
        <w:t xml:space="preserve"> Reducing</w:t>
      </w:r>
      <w:r>
        <w:rPr>
          <w:rFonts w:ascii="Calibri" w:hAnsi="Calibri" w:cs="Calibri" w:eastAsia="Calibri"/>
          <w:b/>
          <w:sz w:val="20"/>
          <w:szCs w:val="20"/>
        </w:rPr>
        <w:t xml:space="preserve"> persistent and severe absence</w:t>
      </w:r>
      <w:r/>
    </w:p>
    <w:p>
      <w:pPr>
        <w:jc w:val="both"/>
        <w:rPr>
          <w:rFonts w:ascii="Calibri" w:hAnsi="Calibri" w:cs="Calibri" w:eastAsia="Calibri"/>
          <w:sz w:val="20"/>
          <w:szCs w:val="20"/>
        </w:rPr>
      </w:pPr>
      <w:r>
        <w:rPr>
          <w:rFonts w:ascii="Calibri" w:hAnsi="Calibri" w:cs="Calibri" w:eastAsia="Calibri"/>
          <w:sz w:val="20"/>
          <w:szCs w:val="20"/>
        </w:rPr>
        <w:t xml:space="preserve">Persistent absence is where a pupil misses 10% or more of school, and severe absence is where a pupil misses 50% or more of school. Reducing persistent and severe absence is central to the school’s strategy for improving attendance.</w:t>
      </w:r>
      <w:r/>
    </w:p>
    <w:p>
      <w:pPr>
        <w:jc w:val="both"/>
        <w:rPr>
          <w:rFonts w:ascii="Calibri" w:hAnsi="Calibri" w:cs="Calibri" w:eastAsia="Calibri"/>
          <w:sz w:val="20"/>
          <w:szCs w:val="20"/>
        </w:rPr>
      </w:pPr>
      <w:r>
        <w:rPr>
          <w:rFonts w:ascii="Calibri" w:hAnsi="Calibri" w:cs="Calibri" w:eastAsia="Calibri"/>
          <w:sz w:val="20"/>
          <w:szCs w:val="20"/>
        </w:rPr>
        <w:t xml:space="preserve">The school will:</w:t>
      </w:r>
      <w:r/>
    </w:p>
    <w:p>
      <w:pPr>
        <w:numPr>
          <w:ilvl w:val="0"/>
          <w:numId w:val="20"/>
        </w:numPr>
        <w:jc w:val="both"/>
        <w:rPr>
          <w:sz w:val="20"/>
          <w:szCs w:val="20"/>
        </w:rPr>
      </w:pPr>
      <w:r>
        <w:rPr>
          <w:rFonts w:ascii="Calibri" w:hAnsi="Calibri" w:cs="Calibri" w:eastAsia="Calibri"/>
          <w:sz w:val="20"/>
          <w:szCs w:val="20"/>
        </w:rPr>
        <w:t xml:space="preserve">Use attendance data to find patterns and trends of persistent and severe absence</w:t>
      </w:r>
      <w:r/>
    </w:p>
    <w:p>
      <w:pPr>
        <w:numPr>
          <w:ilvl w:val="0"/>
          <w:numId w:val="20"/>
        </w:numPr>
        <w:jc w:val="both"/>
        <w:rPr>
          <w:sz w:val="20"/>
          <w:szCs w:val="20"/>
        </w:rPr>
      </w:pPr>
      <w:r>
        <w:rPr>
          <w:rFonts w:ascii="Calibri" w:hAnsi="Calibri" w:cs="Calibri" w:eastAsia="Calibri"/>
          <w:sz w:val="20"/>
          <w:szCs w:val="20"/>
        </w:rPr>
        <w:t xml:space="preserve">Consider potential safeguarding issues and, where suspected or present, address them in line with Keeping Children Safe in Education </w:t>
      </w:r>
      <w:r/>
    </w:p>
    <w:p>
      <w:pPr>
        <w:numPr>
          <w:ilvl w:val="0"/>
          <w:numId w:val="20"/>
        </w:numPr>
        <w:jc w:val="both"/>
        <w:rPr>
          <w:sz w:val="20"/>
          <w:szCs w:val="20"/>
        </w:rPr>
      </w:pPr>
      <w:r>
        <w:rPr>
          <w:rFonts w:ascii="Calibri" w:hAnsi="Calibri" w:cs="Calibri" w:eastAsia="Calibri"/>
          <w:sz w:val="20"/>
          <w:szCs w:val="20"/>
        </w:rPr>
        <w:t xml:space="preserve">Have regular contact with the parents/carers of pupil who the school (and/or local authority) considers to be vulnerable or at risk of persistent or severe absence, or who are persistently or severely absent.</w:t>
      </w:r>
      <w:r/>
    </w:p>
    <w:p>
      <w:pPr>
        <w:numPr>
          <w:ilvl w:val="0"/>
          <w:numId w:val="20"/>
        </w:numPr>
        <w:jc w:val="both"/>
        <w:rPr>
          <w:sz w:val="20"/>
          <w:szCs w:val="20"/>
        </w:rPr>
      </w:pPr>
      <w:r>
        <w:rPr>
          <w:rFonts w:ascii="Calibri" w:hAnsi="Calibri" w:cs="Calibri" w:eastAsia="Calibri"/>
          <w:sz w:val="20"/>
          <w:szCs w:val="20"/>
        </w:rPr>
        <w:t xml:space="preserve">Implement, and regularly review the efficacy of, the range of strategies and approaches detailed above in section 5.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numPr>
          <w:ilvl w:val="0"/>
          <w:numId w:val="1"/>
        </w:numPr>
        <w:jc w:val="both"/>
        <w:rPr>
          <w:rFonts w:ascii="Calibri" w:hAnsi="Calibri" w:cs="Calibri" w:eastAsia="Calibri"/>
          <w:b/>
          <w:color w:val="000000"/>
          <w:u w:val="single"/>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2"/>
          <w:szCs w:val="22"/>
          <w:u w:val="single"/>
        </w:rPr>
        <w:t xml:space="preserve">Authorised and unauthorised absence </w:t>
      </w:r>
      <w:r/>
    </w:p>
    <w:p>
      <w:pPr>
        <w:ind w:left="720"/>
        <w:jc w:val="both"/>
        <w:rPr>
          <w:rFonts w:ascii="Calibri" w:hAnsi="Calibri" w:cs="Calibri" w:eastAsia="Calibri"/>
          <w:b/>
          <w:color w:val="000000"/>
          <w:sz w:val="22"/>
          <w:szCs w:val="22"/>
          <w:u w:val="single"/>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2"/>
          <w:szCs w:val="22"/>
          <w:u w:val="single"/>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t xml:space="preserve">7.1 Approval for term-time absence </w:t>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head teacher will allow pupils to be absent from the school site for certain educational activities, or to attend other schools or settings.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head teacher will only grant a leave of absence to a pupil during term time if the request meets the specific circumstances set out in the 2024 school attendance regulations. These circumstances are:</w:t>
      </w:r>
      <w:r/>
    </w:p>
    <w:p>
      <w:pPr>
        <w:numPr>
          <w:ilvl w:val="0"/>
          <w:numId w:val="10"/>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Taking part in a regulated performance, or regulated employment abroad</w:t>
      </w:r>
      <w:r/>
    </w:p>
    <w:p>
      <w:pPr>
        <w:numPr>
          <w:ilvl w:val="0"/>
          <w:numId w:val="10"/>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Attending an interview</w:t>
      </w:r>
      <w:r/>
    </w:p>
    <w:p>
      <w:pPr>
        <w:numPr>
          <w:ilvl w:val="0"/>
          <w:numId w:val="10"/>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Study leave</w:t>
      </w:r>
      <w:r/>
    </w:p>
    <w:p>
      <w:pPr>
        <w:numPr>
          <w:ilvl w:val="0"/>
          <w:numId w:val="10"/>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 temporary, time-limited part-time timetable</w:t>
      </w:r>
      <w:r/>
    </w:p>
    <w:p>
      <w:pPr>
        <w:numPr>
          <w:ilvl w:val="0"/>
          <w:numId w:val="10"/>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Exceptional circumstances</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 leave of absence is granted at the head teacher’s discretion, including the length of time the pupil is authorised to be absent for.</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Leave of absence will not be granted for a pupil to take part in protest activity during school hours.</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As a leave of absence will only be granted in exceptional circumstances, it is unlikely a leave of absence will be granted for the purposes of a family holiday.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school considers each application for term-time absence individually, taking into account the specific facts, circumstances and relevant background context behind the request.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Any request should be submitted as soon as it is anticipated. The head teacher may require evidence to support any request for leave of absence. Other valid reasons for authorised absence include (but are not limited to):</w:t>
      </w:r>
      <w:r/>
    </w:p>
    <w:p>
      <w:pPr>
        <w:numPr>
          <w:ilvl w:val="0"/>
          <w:numId w:val="14"/>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Illness (including mental-health illness) and medical/dental appointments (see sections 4.2 and 4.3 for more detail)</w:t>
      </w:r>
      <w:r/>
    </w:p>
    <w:p>
      <w:pPr>
        <w:numPr>
          <w:ilvl w:val="0"/>
          <w:numId w:val="13"/>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Religious</w:t>
      </w:r>
      <w:r>
        <w:rPr>
          <w:rFonts w:ascii="Calibri" w:hAnsi="Calibri" w:cs="Calibri" w:eastAsia="Calibri"/>
          <w:color w:val="000000"/>
          <w:sz w:val="20"/>
          <w:szCs w:val="20"/>
        </w:rPr>
        <w:t xml:space="preserve"> observance – where the day is exclusively set apart for religious observance by the religious body to which the pupil’s parent(s) belong(s). If necessary, the school will seek advice from the parent’s religious body to confirm whether the day is set apart</w:t>
      </w:r>
      <w:r/>
    </w:p>
    <w:p>
      <w:pPr>
        <w:numPr>
          <w:ilvl w:val="0"/>
          <w:numId w:val="11"/>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Parent(s) travelling for occupational purposes – this covers Roma, English and Welsh gypsies, Irish and Scottish travellers, showmen (fairground people) and circus people, bargees (occupati</w:t>
      </w:r>
      <w:r>
        <w:rPr>
          <w:rFonts w:ascii="Calibri" w:hAnsi="Calibri" w:cs="Calibri" w:eastAsia="Calibri"/>
          <w:color w:val="000000"/>
          <w:sz w:val="20"/>
          <w:szCs w:val="20"/>
        </w:rPr>
        <w:t xml:space="preserve">onal boat dwellers) and new travellers. Absence may be authorised only when a traveller family is known to be travelling for occupational purposes and has agreed this with the school, but it is not known whether the pupil is attending educational provision</w:t>
      </w:r>
      <w:r/>
    </w:p>
    <w:p>
      <w:pPr>
        <w:numPr>
          <w:ilvl w:val="0"/>
          <w:numId w:val="11"/>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If the pupil is currently suspended or excluded from school (and no alternative provision has been made)</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Other reasons the school may allow a pupil to be absent from the school site, which are not classified as absences, include (but are not limited to):</w:t>
      </w:r>
      <w:r/>
    </w:p>
    <w:p>
      <w:pPr>
        <w:numPr>
          <w:ilvl w:val="0"/>
          <w:numId w:val="15"/>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Attending an offsite approved educational activity, sporting activity or visit or trip arranged by the school</w:t>
      </w:r>
      <w:r/>
    </w:p>
    <w:p>
      <w:pPr>
        <w:numPr>
          <w:ilvl w:val="0"/>
          <w:numId w:val="15"/>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Attending another school at which the pupil is also registered (dual registration)</w:t>
      </w:r>
      <w:r/>
    </w:p>
    <w:p>
      <w:pPr>
        <w:numPr>
          <w:ilvl w:val="0"/>
          <w:numId w:val="15"/>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Attending provision arranged by the local authority</w:t>
      </w:r>
      <w:r/>
    </w:p>
    <w:p>
      <w:pPr>
        <w:numPr>
          <w:ilvl w:val="0"/>
          <w:numId w:val="15"/>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Attending work experience</w:t>
      </w:r>
      <w:r/>
    </w:p>
    <w:p>
      <w:pPr>
        <w:numPr>
          <w:ilvl w:val="0"/>
          <w:numId w:val="15"/>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If there is any other unavoidable cause for the pupil not to attend school, such as disruption to travel caused by an emergency, a lack of access arrangements, or because the school premises are closed</w:t>
      </w:r>
      <w:r/>
    </w:p>
    <w:p>
      <w:pPr>
        <w:ind w:left="720"/>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t xml:space="preserve">7.2 Sanctions </w:t>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Our school will make use of the full range of potential sanctions – including, but not limited to, those listed below – to tackle poor attendance. Decisions will be made on an individual, case-by-case basis.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jc w:val="both"/>
        <w:rPr>
          <w:rFonts w:ascii="Calibri" w:hAnsi="Calibri" w:cs="Calibri" w:eastAsia="Calibri"/>
          <w:color w:val="000000"/>
          <w:sz w:val="20"/>
          <w:szCs w:val="20"/>
          <w:u w:val="single"/>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u w:val="single"/>
        </w:rPr>
        <w:t xml:space="preserve">Penalty notices</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head teacher (or someone authorised by them), local authority or the police can fine parents for the unauthorised absence of their child from school, where the child is of compulsory school age, by issuing a penalty notice.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If the school issues a penalty notice, it will check with the local authority before doing so, and send it a copy of any penalty notice issued.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Before issuing a penalty notice, the school will consider the individual case, including: </w:t>
      </w:r>
      <w:r/>
    </w:p>
    <w:p>
      <w:pPr>
        <w:numPr>
          <w:ilvl w:val="0"/>
          <w:numId w:val="1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Whether the national threshold for considering a penalty notice has been met (10 sessions of unauthorised absence in a rolling period of 10 school weeks)</w:t>
      </w:r>
      <w:r/>
    </w:p>
    <w:p>
      <w:pPr>
        <w:numPr>
          <w:ilvl w:val="0"/>
          <w:numId w:val="1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Whether a penalty notice is the best available tool to improve attendance for that pupil</w:t>
      </w:r>
      <w:r/>
    </w:p>
    <w:p>
      <w:pPr>
        <w:numPr>
          <w:ilvl w:val="0"/>
          <w:numId w:val="1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Whether further support, a notice to improve or another legal intervention would be a more appropriate solution</w:t>
      </w:r>
      <w:r/>
    </w:p>
    <w:p>
      <w:pPr>
        <w:numPr>
          <w:ilvl w:val="0"/>
          <w:numId w:val="16"/>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Whether any obligations that the school has under the Equality Act 2010 make issuing a penalty notice inappropriate</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Each parent who is liable for the pupil’s offence(s) can be issued with a penalty notice, but this will usually only be the parent/parents who allowed the absence.</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payment must be made directly to the local authority, regardless of who issues the notice. If the payment has not been made after 28 days, the local authority can decide whether to prosecute or withdraw the notice.</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If issued with a first penalty notice, the parent must pay £80 within 21 days, or £160 within 28 days.</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If a second penalty notice is issued to the same parent in respect of the same pupil, the parent must pay £160 if paid within 28 days.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 third penalty notice cann</w:t>
      </w:r>
      <w:r>
        <w:rPr>
          <w:rFonts w:ascii="Calibri" w:hAnsi="Calibri" w:cs="Calibri" w:eastAsia="Calibri"/>
          <w:color w:val="000000"/>
          <w:sz w:val="20"/>
          <w:szCs w:val="20"/>
        </w:rPr>
        <w:t xml:space="preserve">ot be issued to the same parent in respect of the same child within 3 years of the date of the issue of the first penalty notice. In a case where the national threshold is met for a third time within those 3 years, alternative action will be taken instead.</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 penalty</w:t>
      </w:r>
      <w:r>
        <w:rPr>
          <w:rFonts w:ascii="Calibri" w:hAnsi="Calibri" w:cs="Calibri" w:eastAsia="Calibri"/>
          <w:color w:val="000000"/>
          <w:sz w:val="20"/>
          <w:szCs w:val="20"/>
        </w:rPr>
        <w:t xml:space="preserve"> notice may also be issued where parents allow their child to be present in a public place during school hours without reasonable justification, during the first 5 days of a suspension or exclusion (where the school has notified the parents that the pupil </w:t>
      </w:r>
      <w:r>
        <w:rPr>
          <w:rFonts w:ascii="Calibri" w:hAnsi="Calibri" w:cs="Calibri" w:eastAsia="Calibri"/>
          <w:color w:val="000000"/>
          <w:sz w:val="20"/>
          <w:szCs w:val="20"/>
        </w:rPr>
        <w:t xml:space="preserve">must not be present in a public place on that day). These penalty notices are not included in the National Framework, not subject to the same considerations about support being provided, and do not count towards the limit as part of the escalation process.</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In these cases, the parent must pay £60 within 21 days, or £120.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jc w:val="both"/>
        <w:rPr>
          <w:rFonts w:ascii="Calibri" w:hAnsi="Calibri" w:cs="Calibri" w:eastAsia="Calibri"/>
          <w:color w:val="000000"/>
          <w:sz w:val="20"/>
          <w:szCs w:val="20"/>
          <w:u w:val="single"/>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u w:val="single"/>
        </w:rPr>
        <w:t xml:space="preserve">Notices to improve</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If the national threshold has been met and support is appropriate, but parents do not engage with offers of support, the school may offer a notice to improve to give parents a final chance to engage with support.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Notices to improve will be issued in line with processes set out in the local code of conduct for the local authority area in which the pupil attends school.</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They will include:</w:t>
      </w:r>
      <w:r/>
    </w:p>
    <w:p>
      <w:pPr>
        <w:numPr>
          <w:ilvl w:val="0"/>
          <w:numId w:val="1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Details of the pupil’s attendance record and of the offences</w:t>
      </w:r>
      <w:r/>
    </w:p>
    <w:p>
      <w:pPr>
        <w:numPr>
          <w:ilvl w:val="0"/>
          <w:numId w:val="1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benefits of regular attendance and the duty of parents under section 7 of the Education Act 1996</w:t>
      </w:r>
      <w:r/>
    </w:p>
    <w:p>
      <w:pPr>
        <w:numPr>
          <w:ilvl w:val="0"/>
          <w:numId w:val="1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Details of the support provided so far  </w:t>
      </w:r>
      <w:r/>
    </w:p>
    <w:p>
      <w:pPr>
        <w:numPr>
          <w:ilvl w:val="0"/>
          <w:numId w:val="1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Opportunities for further support, or to access previously provided support that was not engaged with</w:t>
      </w:r>
      <w:r/>
    </w:p>
    <w:p>
      <w:pPr>
        <w:numPr>
          <w:ilvl w:val="0"/>
          <w:numId w:val="1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 clear warning that a penalty notice may be issued if attendance doesn’t improve within the improvement period, along with details of what sufficient improvement looks like, which will be decided on a case-by-case basis</w:t>
      </w:r>
      <w:r/>
    </w:p>
    <w:p>
      <w:pPr>
        <w:numPr>
          <w:ilvl w:val="0"/>
          <w:numId w:val="1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 clear timeframe of between 3 and 6 weeks for the improvement period </w:t>
      </w:r>
      <w:r/>
    </w:p>
    <w:p>
      <w:pPr>
        <w:numPr>
          <w:ilvl w:val="0"/>
          <w:numId w:val="17"/>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grounds on which a penalty notice may be issued before the end of the improvement period</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numPr>
          <w:ilvl w:val="0"/>
          <w:numId w:val="1"/>
        </w:numPr>
        <w:jc w:val="both"/>
        <w:rPr>
          <w:rFonts w:ascii="Calibri" w:hAnsi="Calibri" w:cs="Calibri" w:eastAsia="Calibri"/>
          <w:b/>
          <w:color w:val="000000"/>
          <w:u w:val="single"/>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2"/>
          <w:szCs w:val="22"/>
          <w:u w:val="single"/>
        </w:rPr>
        <w:t xml:space="preserve">Attendance monitoring</w:t>
      </w:r>
      <w:r/>
    </w:p>
    <w:p>
      <w:pPr>
        <w:ind w:left="720"/>
        <w:jc w:val="both"/>
        <w:rPr>
          <w:rFonts w:ascii="Calibri" w:hAnsi="Calibri" w:cs="Calibri" w:eastAsia="Calibri"/>
          <w:b/>
          <w:color w:val="000000"/>
          <w:sz w:val="22"/>
          <w:szCs w:val="22"/>
          <w:u w:val="single"/>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2"/>
          <w:szCs w:val="22"/>
          <w:u w:val="single"/>
        </w:rPr>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Our school monitors attendance and absence data and systematically and regularly analyses it.</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t xml:space="preserve">8.1 Monitoring attendance</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school will monitor attendance and absence data (including punctuality) half-termly, termly and yearly across the school and at an individual pupil, year group and cohort level.</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Specific pupil information will be shared with the </w:t>
      </w:r>
      <w:r>
        <w:rPr>
          <w:rFonts w:ascii="Calibri" w:hAnsi="Calibri" w:cs="Calibri" w:eastAsia="Calibri"/>
          <w:color w:val="000000"/>
          <w:sz w:val="20"/>
          <w:szCs w:val="20"/>
        </w:rPr>
        <w:t xml:space="preserve">DfE</w:t>
      </w:r>
      <w:r>
        <w:rPr>
          <w:rFonts w:ascii="Calibri" w:hAnsi="Calibri" w:cs="Calibri" w:eastAsia="Calibri"/>
          <w:color w:val="000000"/>
          <w:sz w:val="20"/>
          <w:szCs w:val="20"/>
        </w:rPr>
        <w:t xml:space="preserve"> and local authorities on request.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school will regularly inform parents (see definition of ‘parent’, as used in this policy, in section 3.6 above) about their child’s attendance and absence levels via written reports.</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t xml:space="preserve">8.2 Analysing attendance</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school will:</w:t>
      </w:r>
      <w:r/>
    </w:p>
    <w:p>
      <w:pPr>
        <w:numPr>
          <w:ilvl w:val="0"/>
          <w:numId w:val="18"/>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Analyse attendance and absence data regularly to identify pupils, groups or cohorts that need additional support with their attendance,</w:t>
      </w:r>
      <w:r/>
    </w:p>
    <w:p>
      <w:pPr>
        <w:numPr>
          <w:ilvl w:val="0"/>
          <w:numId w:val="18"/>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Identify pupils whose absences may be a cause for concern, especially those who demonstrate patterns of persistent or severe absence </w:t>
      </w:r>
      <w:r/>
    </w:p>
    <w:p>
      <w:pPr>
        <w:numPr>
          <w:ilvl w:val="0"/>
          <w:numId w:val="18"/>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Conduct thorough analysis of half-termly, termly, and full-year data to identify patterns and trends</w:t>
      </w:r>
      <w:r/>
    </w:p>
    <w:p>
      <w:pPr>
        <w:numPr>
          <w:ilvl w:val="0"/>
          <w:numId w:val="18"/>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Look at historic and emerging patterns of attendance and absence, and then develop strategies to address these patterns  </w:t>
      </w:r>
      <w:r/>
    </w:p>
    <w:p>
      <w:pPr>
        <w:ind w:left="720"/>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t xml:space="preserve">8.3 Using data to improve attendance</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The school will:</w:t>
      </w:r>
      <w:r/>
    </w:p>
    <w:p>
      <w:pPr>
        <w:numPr>
          <w:ilvl w:val="0"/>
          <w:numId w:val="19"/>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Develop targeted actions to address patterns of absence (of all severities) of individual pupils, groups or cohorts that it has identified via data analysis</w:t>
      </w:r>
      <w:r/>
    </w:p>
    <w:p>
      <w:pPr>
        <w:numPr>
          <w:ilvl w:val="0"/>
          <w:numId w:val="19"/>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Provide targeted support to the pupils it has identified whose absences may be a cause for concern, especially those who demonstrate patterns of persistent or severed absence, and their families (see section 8.4 below)</w:t>
      </w:r>
      <w:r/>
    </w:p>
    <w:p>
      <w:pPr>
        <w:numPr>
          <w:ilvl w:val="0"/>
          <w:numId w:val="19"/>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Provide regular attendance reports to form tutors, to facilitate discussions with pupils and families, and to the governing board and school leaders (including special educational needs co-ordinators, designated safeguarding leads and pupil premium leads)</w:t>
      </w:r>
      <w:r/>
    </w:p>
    <w:p>
      <w:pPr>
        <w:numPr>
          <w:ilvl w:val="0"/>
          <w:numId w:val="19"/>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Use data to monitor and evaluate the impact of any interventions put in place in order to modify them and inform future strategies</w:t>
      </w:r>
      <w:r/>
    </w:p>
    <w:p>
      <w:pPr>
        <w:numPr>
          <w:ilvl w:val="0"/>
          <w:numId w:val="19"/>
        </w:numPr>
        <w:jc w:val="both"/>
        <w:rPr>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S</w:t>
      </w:r>
      <w:r>
        <w:rPr>
          <w:rFonts w:ascii="Calibri" w:hAnsi="Calibri" w:cs="Calibri" w:eastAsia="Calibri"/>
          <w:color w:val="000000"/>
          <w:sz w:val="20"/>
          <w:szCs w:val="20"/>
        </w:rPr>
        <w:t xml:space="preserve">hare information and work collaboratively with other schools in the area, local authorities and other partners where a pupil’s absence is at risk of becoming persistent or severe, including keeping them informed regarding specific pupils, where appropriate</w:t>
      </w:r>
      <w:r/>
    </w:p>
    <w:p>
      <w:pPr>
        <w:ind w:left="720"/>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jc w:val="both"/>
        <w:rPr>
          <w:rFonts w:ascii="Calibri" w:hAnsi="Calibri" w:cs="Calibri" w:eastAsia="Calibri"/>
          <w:color w:val="000000"/>
          <w:sz w:val="20"/>
          <w:szCs w:val="20"/>
          <w:highlight w:val="yellow"/>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highlight w:val="yellow"/>
        </w:rPr>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bookmarkStart w:id="2" w:name="_1fob9te"/>
      <w:r/>
      <w:bookmarkEnd w:id="2"/>
      <w:r>
        <w:rPr>
          <w:rFonts w:ascii="Calibri" w:hAnsi="Calibri" w:cs="Calibri" w:eastAsia="Calibri"/>
          <w:color w:val="000000"/>
          <w:sz w:val="20"/>
          <w:szCs w:val="20"/>
        </w:rPr>
        <w:t xml:space="preserve"> </w:t>
      </w:r>
      <w:r/>
    </w:p>
    <w:p>
      <w:pPr>
        <w:numPr>
          <w:ilvl w:val="0"/>
          <w:numId w:val="1"/>
        </w:numPr>
        <w:jc w:val="both"/>
        <w:rPr>
          <w:rFonts w:ascii="Calibri" w:hAnsi="Calibri" w:cs="Calibri" w:eastAsia="Calibri"/>
          <w:b/>
          <w:color w:val="000000"/>
          <w:u w:val="single"/>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2"/>
          <w:szCs w:val="22"/>
          <w:u w:val="single"/>
        </w:rPr>
        <w:t xml:space="preserve">Links with other policies </w:t>
      </w:r>
      <w:r/>
    </w:p>
    <w:p>
      <w:pPr>
        <w:ind w:left="720"/>
        <w:jc w:val="both"/>
        <w:rPr>
          <w:rFonts w:ascii="Calibri" w:hAnsi="Calibri" w:cs="Calibri" w:eastAsia="Calibri"/>
          <w:b/>
          <w:color w:val="000000"/>
          <w:sz w:val="22"/>
          <w:szCs w:val="22"/>
          <w:u w:val="single"/>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2"/>
          <w:szCs w:val="22"/>
          <w:u w:val="single"/>
        </w:rPr>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This policy links to the following policies:</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 </w:t>
      </w:r>
      <w:r>
        <w:rPr>
          <w:rFonts w:ascii="Calibri" w:hAnsi="Calibri" w:cs="Calibri" w:eastAsia="Calibri"/>
          <w:color w:val="000000"/>
          <w:sz w:val="20"/>
          <w:szCs w:val="20"/>
        </w:rPr>
        <w:tab/>
        <w:t xml:space="preserve">Child protection and safeguarding policy</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 </w:t>
      </w:r>
      <w:r>
        <w:rPr>
          <w:rFonts w:ascii="Calibri" w:hAnsi="Calibri" w:cs="Calibri" w:eastAsia="Calibri"/>
          <w:color w:val="000000"/>
          <w:sz w:val="20"/>
          <w:szCs w:val="20"/>
        </w:rPr>
        <w:tab/>
        <w:t xml:space="preserve">Behaviour management policy</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t xml:space="preserve"> </w:t>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b/>
          <w:color w:val="000000"/>
          <w:sz w:val="20"/>
          <w:szCs w:val="20"/>
        </w:rPr>
      </w:r>
      <w:r/>
    </w:p>
    <w:p>
      <w:pPr>
        <w:jc w:val="both"/>
        <w:rPr>
          <w:rFonts w:ascii="Calibri" w:hAnsi="Calibri" w:cs="Calibri" w:eastAsia="Calibri"/>
          <w:b/>
          <w:color w:val="000000"/>
          <w:sz w:val="20"/>
          <w:szCs w:val="20"/>
        </w:rPr>
        <w:pBdr>
          <w:top w:val="none" w:color="000000" w:sz="4" w:space="0"/>
          <w:left w:val="none" w:color="000000" w:sz="4" w:space="0"/>
          <w:bottom w:val="none" w:color="000000" w:sz="4" w:space="0"/>
          <w:right w:val="none" w:color="000000" w:sz="4" w:space="0"/>
          <w:between w:val="none" w:color="000000" w:sz="4" w:space="0"/>
        </w:pBdr>
      </w:pPr>
      <w:r/>
      <w:bookmarkStart w:id="3" w:name="_GoBack"/>
      <w:r/>
      <w:bookmarkEnd w:id="3"/>
      <w:r>
        <w:rPr>
          <w:rFonts w:ascii="Calibri" w:hAnsi="Calibri" w:cs="Calibri" w:eastAsia="Calibri"/>
          <w:b/>
          <w:color w:val="000000"/>
          <w:sz w:val="20"/>
          <w:szCs w:val="20"/>
        </w:rPr>
        <w:t xml:space="preserve">Appendix 1: attendance codes </w:t>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p>
      <w:pPr>
        <w:spacing w:after="120"/>
        <w:rPr>
          <w:rFonts w:ascii="Calibri" w:hAnsi="Calibri" w:cs="Calibri" w:eastAsia="Calibri"/>
          <w:sz w:val="20"/>
          <w:szCs w:val="20"/>
        </w:rPr>
      </w:pPr>
      <w:r/>
      <w:bookmarkStart w:id="4" w:name="_3znysh7"/>
      <w:r/>
      <w:bookmarkEnd w:id="4"/>
      <w:r>
        <w:rPr>
          <w:rFonts w:ascii="Calibri" w:hAnsi="Calibri" w:cs="Calibri" w:eastAsia="Calibri"/>
          <w:sz w:val="20"/>
          <w:szCs w:val="20"/>
        </w:rPr>
        <w:t xml:space="preserve">The following codes are taken from the </w:t>
      </w:r>
      <w:r>
        <w:rPr>
          <w:rFonts w:ascii="Calibri" w:hAnsi="Calibri" w:cs="Calibri" w:eastAsia="Calibri"/>
          <w:sz w:val="20"/>
          <w:szCs w:val="20"/>
        </w:rPr>
        <w:t xml:space="preserve">DfE’s</w:t>
      </w:r>
      <w:r>
        <w:rPr>
          <w:rFonts w:ascii="Calibri" w:hAnsi="Calibri" w:cs="Calibri" w:eastAsia="Calibri"/>
          <w:sz w:val="20"/>
          <w:szCs w:val="20"/>
        </w:rPr>
        <w:t xml:space="preserve"> </w:t>
      </w:r>
      <w:hyperlink r:id="rId24" w:tooltip="https://www.gov.uk/government/publications/working-together-to-improve-school-attendance" w:history="1">
        <w:r>
          <w:rPr>
            <w:rFonts w:ascii="Calibri" w:hAnsi="Calibri" w:cs="Calibri" w:eastAsia="Calibri"/>
            <w:color w:val="0072CC"/>
            <w:sz w:val="20"/>
            <w:szCs w:val="20"/>
            <w:u w:val="single"/>
          </w:rPr>
          <w:t xml:space="preserve">guidance on school attendance</w:t>
        </w:r>
      </w:hyperlink>
      <w:r>
        <w:rPr>
          <w:rFonts w:ascii="Calibri" w:hAnsi="Calibri" w:cs="Calibri" w:eastAsia="Calibri"/>
          <w:sz w:val="20"/>
          <w:szCs w:val="20"/>
        </w:rPr>
        <w:t xml:space="preserve">.</w:t>
      </w:r>
      <w:r/>
    </w:p>
    <w:tbl>
      <w:tblPr>
        <w:tblStyle w:val="723"/>
        <w:tblW w:w="9732" w:type="dxa"/>
        <w:tblInd w:w="108" w:type="dxa"/>
        <w:tblBorders>
          <w:top w:val="single" w:color="BFBFBF" w:sz="18" w:space="0"/>
          <w:left w:val="single" w:color="BFBFBF" w:sz="18" w:space="0"/>
          <w:bottom w:val="single" w:color="BFBFBF" w:sz="18" w:space="0"/>
          <w:right w:val="single" w:color="BFBFBF" w:sz="18" w:space="0"/>
        </w:tblBorders>
        <w:tblLayout w:type="fixed"/>
        <w:tblLook w:val="0400" w:firstRow="0" w:lastRow="0" w:firstColumn="0" w:lastColumn="0" w:noHBand="0" w:noVBand="1"/>
      </w:tblPr>
      <w:tblGrid>
        <w:gridCol w:w="1701"/>
        <w:gridCol w:w="3402"/>
        <w:gridCol w:w="4629"/>
      </w:tblGrid>
      <w:tr>
        <w:trPr>
          <w:trHeight w:val="27"/>
        </w:trPr>
        <w:tc>
          <w:tcPr>
            <w:shd w:val="clear" w:color="auto" w:fill="bfbfbf"/>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2"/>
                <w:szCs w:val="22"/>
              </w:rPr>
            </w:pPr>
            <w:r>
              <w:rPr>
                <w:rFonts w:ascii="Calibri" w:hAnsi="Calibri" w:cs="Calibri" w:eastAsia="Calibri"/>
                <w:b/>
                <w:sz w:val="22"/>
                <w:szCs w:val="22"/>
              </w:rPr>
              <w:t xml:space="preserve">Code</w:t>
            </w:r>
            <w:r/>
          </w:p>
        </w:tc>
        <w:tc>
          <w:tcPr>
            <w:shd w:val="clear" w:color="auto" w:fill="bfbfbf"/>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2"/>
                <w:szCs w:val="22"/>
              </w:rPr>
            </w:pPr>
            <w:r>
              <w:rPr>
                <w:rFonts w:ascii="Calibri" w:hAnsi="Calibri" w:cs="Calibri" w:eastAsia="Calibri"/>
                <w:b/>
                <w:sz w:val="22"/>
                <w:szCs w:val="22"/>
              </w:rPr>
              <w:t xml:space="preserve">Definition</w:t>
            </w:r>
            <w:r/>
          </w:p>
        </w:tc>
        <w:tc>
          <w:tcPr>
            <w:shd w:val="clear" w:color="auto" w:fill="bfbfbf"/>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2"/>
                <w:szCs w:val="22"/>
              </w:rPr>
            </w:pPr>
            <w:r>
              <w:rPr>
                <w:rFonts w:ascii="Calibri" w:hAnsi="Calibri" w:cs="Calibri" w:eastAsia="Calibri"/>
                <w:b/>
                <w:sz w:val="22"/>
                <w:szCs w:val="22"/>
              </w:rPr>
              <w:t xml:space="preserve">Scenario</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Present (am)</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present at morning registration</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Present (pm)</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present at afternoon registration</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L</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Late arrival</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arrives late before register has closed</w:t>
            </w:r>
            <w:r/>
          </w:p>
        </w:tc>
      </w:tr>
      <w:tr>
        <w:trPr/>
        <w:tc>
          <w:tcPr>
            <w:gridSpan w:val="3"/>
            <w:tcBorders>
              <w:top w:val="single" w:color="BFBFBF" w:sz="18" w:space="0"/>
              <w:bottom w:val="single" w:color="BFBFBF" w:sz="18" w:space="0"/>
            </w:tcBorders>
            <w:tcMar>
              <w:left w:w="108" w:type="dxa"/>
              <w:top w:w="114" w:type="dxa"/>
              <w:right w:w="108" w:type="dxa"/>
              <w:bottom w:w="114" w:type="dxa"/>
            </w:tcMar>
            <w:tcW w:w="9732"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Attending a place other than the school</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K</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Attending education provision arranged by the local authority</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attending a place other than a school at which they are registered, for educational provision arranged by the local authority</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V</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Attending an educational visit or trip</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on an educational visit/trip organised or approved by the school</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P</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Participating in a sporting activity</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participating in a supervised sporting activity approved by the school</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W</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Attending work experience</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on an approved work experience placement</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B</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Attending any other approved educational activity</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attending a place for an approved educational activity that is not a sporting activity or work experience</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D</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Dual registered</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attending a session at another setting where they are also registered</w:t>
            </w:r>
            <w:r/>
          </w:p>
        </w:tc>
      </w:tr>
      <w:tr>
        <w:trPr/>
        <w:tc>
          <w:tcPr>
            <w:gridSpan w:val="3"/>
            <w:tcBorders>
              <w:top w:val="single" w:color="BFBFBF" w:sz="18" w:space="0"/>
              <w:bottom w:val="single" w:color="BFBFBF" w:sz="18" w:space="0"/>
            </w:tcBorders>
            <w:tcMar>
              <w:left w:w="108" w:type="dxa"/>
              <w:top w:w="114" w:type="dxa"/>
              <w:right w:w="108" w:type="dxa"/>
              <w:bottom w:w="114" w:type="dxa"/>
            </w:tcMar>
            <w:tcW w:w="9732"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Absent </w:t>
            </w:r>
            <w:r>
              <w:rPr>
                <w:rFonts w:ascii="Calibri" w:hAnsi="Calibri" w:cs="Calibri" w:eastAsia="Calibri"/>
                <w:b/>
                <w:sz w:val="20"/>
                <w:szCs w:val="20"/>
                <w:highlight w:val="white"/>
              </w:rPr>
              <w:t xml:space="preserve">–</w:t>
            </w:r>
            <w:r>
              <w:rPr>
                <w:rFonts w:ascii="Calibri" w:hAnsi="Calibri" w:cs="Calibri" w:eastAsia="Calibri"/>
                <w:b/>
                <w:sz w:val="20"/>
                <w:szCs w:val="20"/>
              </w:rPr>
              <w:t xml:space="preserve"> leave of absence</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C1</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Participating in a regulated performance or undertaking regulated employment abroad</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undertaking employment (paid or unpaid) during school hours, approved by the school</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M</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Medical/dental appointment</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at a medical or dental appointment</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J1</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Interview</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has an interview with a prospective employer/educational establishment</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S</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Study leave</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has been granted leave of absence to study for a public examination</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X</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Not required to be in school</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of non-compulsory school age is not required to attend</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C2</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Part-time timetable</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not in school due to having a part-time timetable</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C</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Exceptional circumstances</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has been granted a leave of absence due to exceptional circumstances</w:t>
            </w:r>
            <w:r/>
          </w:p>
        </w:tc>
      </w:tr>
      <w:tr>
        <w:trPr/>
        <w:tc>
          <w:tcPr>
            <w:gridSpan w:val="3"/>
            <w:tcBorders>
              <w:top w:val="single" w:color="BFBFBF" w:sz="18" w:space="0"/>
              <w:bottom w:val="single" w:color="BFBFBF" w:sz="18" w:space="0"/>
            </w:tcBorders>
            <w:tcMar>
              <w:left w:w="108" w:type="dxa"/>
              <w:top w:w="114" w:type="dxa"/>
              <w:right w:w="108" w:type="dxa"/>
              <w:bottom w:w="114" w:type="dxa"/>
            </w:tcMar>
            <w:tcW w:w="9732"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Absent </w:t>
            </w:r>
            <w:r>
              <w:rPr>
                <w:rFonts w:ascii="Calibri" w:hAnsi="Calibri" w:cs="Calibri" w:eastAsia="Calibri"/>
                <w:b/>
                <w:sz w:val="20"/>
                <w:szCs w:val="20"/>
                <w:highlight w:val="white"/>
              </w:rPr>
              <w:t xml:space="preserve">–</w:t>
            </w:r>
            <w:r>
              <w:rPr>
                <w:rFonts w:ascii="Calibri" w:hAnsi="Calibri" w:cs="Calibri" w:eastAsia="Calibri"/>
                <w:b/>
                <w:sz w:val="20"/>
                <w:szCs w:val="20"/>
              </w:rPr>
              <w:t xml:space="preserve"> other authorised reasons</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T</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Parent travelling for occupational purposes</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a ‘mobile child’ who is travelling with their parent(s) who are travelling for occupational purposes</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R</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Religious observance</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taking part in a day of religious observance</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I</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Illness (not medical or dental appointment)</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unable to attend due to illness (either related to physical or mental health)</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E</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Suspended or excluded </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has been suspended or excluded from school and no alternative provision has been made</w:t>
            </w:r>
            <w:r/>
          </w:p>
        </w:tc>
      </w:tr>
      <w:tr>
        <w:trPr/>
        <w:tc>
          <w:tcPr>
            <w:gridSpan w:val="3"/>
            <w:tcBorders>
              <w:top w:val="single" w:color="BFBFBF" w:sz="18" w:space="0"/>
              <w:bottom w:val="single" w:color="BFBFBF" w:sz="18" w:space="0"/>
            </w:tcBorders>
            <w:tcMar>
              <w:left w:w="108" w:type="dxa"/>
              <w:top w:w="114" w:type="dxa"/>
              <w:right w:w="108" w:type="dxa"/>
              <w:bottom w:w="114" w:type="dxa"/>
            </w:tcMar>
            <w:tcW w:w="9732"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Absent </w:t>
            </w:r>
            <w:r>
              <w:rPr>
                <w:rFonts w:ascii="Calibri" w:hAnsi="Calibri" w:cs="Calibri" w:eastAsia="Calibri"/>
                <w:b/>
                <w:sz w:val="20"/>
                <w:szCs w:val="20"/>
                <w:highlight w:val="white"/>
              </w:rPr>
              <w:t xml:space="preserve">–</w:t>
            </w:r>
            <w:r>
              <w:rPr>
                <w:rFonts w:ascii="Calibri" w:hAnsi="Calibri" w:cs="Calibri" w:eastAsia="Calibri"/>
                <w:b/>
                <w:sz w:val="20"/>
                <w:szCs w:val="20"/>
              </w:rPr>
              <w:t xml:space="preserve"> unable to attend school because of unavoidable cause</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Q</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Lack of access arrangements</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unable to attend school because the </w:t>
            </w:r>
            <w:r>
              <w:rPr>
                <w:rFonts w:ascii="Calibri" w:hAnsi="Calibri" w:cs="Calibri" w:eastAsia="Calibri"/>
                <w:sz w:val="20"/>
                <w:szCs w:val="20"/>
              </w:rPr>
              <w:br/>
              <w:t xml:space="preserve">local authority has failed to make access arrangements to enable attendance at school</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Y1</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Transport not available</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unable to attend because school is not within walking distance of their home and the transport normally provided is not available</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Y2</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Widespread disruption to travel</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unable to attend because of widespread disruption to travel caused by a local, national or international emergency</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Y3</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Part of school premises closed</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unable to attend because they cannot practicably be accommodated in the part of the premises that remains open</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Y4 </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Whole school site unexpectedly closed</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Every pupil absent as the school is closed unexpectedly (e.g. due to adverse weather)</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Y5</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Criminal justice detention</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unable to attend as they are:</w:t>
            </w:r>
            <w:r/>
          </w:p>
          <w:p>
            <w:pPr>
              <w:numPr>
                <w:ilvl w:val="0"/>
                <w:numId w:val="12"/>
              </w:numPr>
              <w:ind w:hanging="424"/>
              <w:spacing w:after="120"/>
              <w:rPr>
                <w:sz w:val="20"/>
                <w:szCs w:val="20"/>
              </w:rPr>
            </w:pPr>
            <w:r>
              <w:rPr>
                <w:rFonts w:ascii="Calibri" w:hAnsi="Calibri" w:cs="Calibri" w:eastAsia="Calibri"/>
                <w:sz w:val="20"/>
                <w:szCs w:val="20"/>
              </w:rPr>
              <w:t xml:space="preserve">In police detention</w:t>
            </w:r>
            <w:r/>
          </w:p>
          <w:p>
            <w:pPr>
              <w:numPr>
                <w:ilvl w:val="0"/>
                <w:numId w:val="12"/>
              </w:numPr>
              <w:ind w:hanging="424"/>
              <w:spacing w:after="120"/>
              <w:rPr>
                <w:sz w:val="20"/>
                <w:szCs w:val="20"/>
              </w:rPr>
            </w:pPr>
            <w:r>
              <w:rPr>
                <w:rFonts w:ascii="Calibri" w:hAnsi="Calibri" w:cs="Calibri" w:eastAsia="Calibri"/>
                <w:sz w:val="20"/>
                <w:szCs w:val="20"/>
              </w:rPr>
              <w:t xml:space="preserve">Remanded to youth detention, awaiting trial or sentencing, or</w:t>
            </w:r>
            <w:r/>
          </w:p>
          <w:p>
            <w:pPr>
              <w:numPr>
                <w:ilvl w:val="0"/>
                <w:numId w:val="12"/>
              </w:numPr>
              <w:ind w:hanging="424"/>
              <w:spacing w:after="120"/>
              <w:rPr>
                <w:sz w:val="20"/>
                <w:szCs w:val="20"/>
              </w:rPr>
            </w:pPr>
            <w:r>
              <w:rPr>
                <w:rFonts w:ascii="Calibri" w:hAnsi="Calibri" w:cs="Calibri" w:eastAsia="Calibri"/>
                <w:sz w:val="20"/>
                <w:szCs w:val="20"/>
              </w:rPr>
              <w:t xml:space="preserve">Detained under a sentence of detention</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Y6</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Public health guidance or law</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Pupil’s travel to or attendance at the school would be prohibited under public health guidance or law</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Y7</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Any other unavoidable cause</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To be used where an unavoidable cause is not covered by the other codes</w:t>
            </w:r>
            <w:r/>
          </w:p>
        </w:tc>
      </w:tr>
      <w:tr>
        <w:trPr/>
        <w:tc>
          <w:tcPr>
            <w:gridSpan w:val="3"/>
            <w:tcBorders>
              <w:top w:val="single" w:color="BFBFBF" w:sz="18" w:space="0"/>
              <w:bottom w:val="single" w:color="BFBFBF" w:sz="18" w:space="0"/>
            </w:tcBorders>
            <w:tcMar>
              <w:left w:w="108" w:type="dxa"/>
              <w:top w:w="114" w:type="dxa"/>
              <w:right w:w="108" w:type="dxa"/>
              <w:bottom w:w="114" w:type="dxa"/>
            </w:tcMar>
            <w:tcW w:w="9732"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Absent </w:t>
            </w:r>
            <w:r>
              <w:rPr>
                <w:rFonts w:ascii="Calibri" w:hAnsi="Calibri" w:cs="Calibri" w:eastAsia="Calibri"/>
                <w:b/>
                <w:sz w:val="20"/>
                <w:szCs w:val="20"/>
                <w:highlight w:val="white"/>
              </w:rPr>
              <w:t xml:space="preserve">–</w:t>
            </w:r>
            <w:r>
              <w:rPr>
                <w:rFonts w:ascii="Calibri" w:hAnsi="Calibri" w:cs="Calibri" w:eastAsia="Calibri"/>
                <w:b/>
                <w:sz w:val="20"/>
                <w:szCs w:val="20"/>
              </w:rPr>
              <w:t xml:space="preserve"> unauthorised absence</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G</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Holiday not granted by the school</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is absent for the purpose of a holiday, not approved by the school</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N</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Reason for absence not yet established </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Reason for absence has not been established before the register closes</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O</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Absent in other or unknown circumstances</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No reason for absence has been established, or the school isn’t satisfied that the reason given would be recorded using one of the codes for authorised absence</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U</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Arrived in school after registration closed</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has arrived late, after the register has closed but before the end of session</w:t>
            </w:r>
            <w:r/>
          </w:p>
        </w:tc>
      </w:tr>
      <w:tr>
        <w:trPr/>
        <w:tc>
          <w:tcPr>
            <w:gridSpan w:val="3"/>
            <w:tcBorders>
              <w:top w:val="single" w:color="BFBFBF" w:sz="18" w:space="0"/>
              <w:bottom w:val="single" w:color="BFBFBF" w:sz="18" w:space="0"/>
            </w:tcBorders>
            <w:tcMar>
              <w:left w:w="108" w:type="dxa"/>
              <w:top w:w="114" w:type="dxa"/>
              <w:right w:w="108" w:type="dxa"/>
              <w:bottom w:w="114" w:type="dxa"/>
            </w:tcMar>
            <w:tcW w:w="9732"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Administrative codes</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Z</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Prospective pupil not on admission register</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Pupil has not joined school yet but has been registered</w:t>
            </w:r>
            <w:r/>
          </w:p>
        </w:tc>
      </w:tr>
      <w:tr>
        <w:trPr/>
        <w:tc>
          <w:tcPr>
            <w:tcBorders>
              <w:top w:val="single" w:color="BFBFBF" w:sz="18" w:space="0"/>
              <w:bottom w:val="single" w:color="BFBFBF" w:sz="18" w:space="0"/>
              <w:right w:val="single" w:color="BFBFBF" w:sz="18" w:space="0"/>
            </w:tcBorders>
            <w:tcMar>
              <w:left w:w="108" w:type="dxa"/>
              <w:top w:w="114" w:type="dxa"/>
              <w:right w:w="108" w:type="dxa"/>
              <w:bottom w:w="114" w:type="dxa"/>
            </w:tcMar>
            <w:tcW w:w="1701" w:type="dxa"/>
            <w:vAlign w:val="center"/>
            <w:textDirection w:val="lrTb"/>
            <w:noWrap w:val="false"/>
          </w:tcPr>
          <w:p>
            <w:pPr>
              <w:jc w:val="center"/>
              <w:spacing w:after="120"/>
              <w:rPr>
                <w:rFonts w:ascii="Calibri" w:hAnsi="Calibri" w:cs="Calibri" w:eastAsia="Calibri"/>
                <w:sz w:val="20"/>
                <w:szCs w:val="20"/>
              </w:rPr>
            </w:pPr>
            <w:r>
              <w:rPr>
                <w:rFonts w:ascii="Calibri" w:hAnsi="Calibri" w:cs="Calibri" w:eastAsia="Calibri"/>
                <w:b/>
                <w:sz w:val="20"/>
                <w:szCs w:val="20"/>
              </w:rPr>
              <w:t xml:space="preserve">#</w:t>
            </w:r>
            <w:r/>
          </w:p>
        </w:tc>
        <w:tc>
          <w:tcPr>
            <w:tcBorders>
              <w:top w:val="single" w:color="BFBFBF" w:sz="18" w:space="0"/>
              <w:left w:val="single" w:color="BFBFBF" w:sz="18" w:space="0"/>
              <w:bottom w:val="single" w:color="BFBFBF" w:sz="18" w:space="0"/>
              <w:right w:val="single" w:color="BFBFBF" w:sz="18" w:space="0"/>
            </w:tcBorders>
            <w:tcMar>
              <w:left w:w="108" w:type="dxa"/>
              <w:top w:w="114" w:type="dxa"/>
              <w:right w:w="108" w:type="dxa"/>
              <w:bottom w:w="114" w:type="dxa"/>
            </w:tcMar>
            <w:tcW w:w="3402"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Planned whole-school closure</w:t>
            </w:r>
            <w:r/>
          </w:p>
        </w:tc>
        <w:tc>
          <w:tcPr>
            <w:tcBorders>
              <w:top w:val="single" w:color="BFBFBF" w:sz="18" w:space="0"/>
              <w:left w:val="single" w:color="BFBFBF" w:sz="18" w:space="0"/>
              <w:bottom w:val="single" w:color="BFBFBF" w:sz="18" w:space="0"/>
            </w:tcBorders>
            <w:tcMar>
              <w:left w:w="108" w:type="dxa"/>
              <w:top w:w="114" w:type="dxa"/>
              <w:right w:w="108" w:type="dxa"/>
              <w:bottom w:w="114" w:type="dxa"/>
            </w:tcMar>
            <w:tcW w:w="4629" w:type="dxa"/>
            <w:vAlign w:val="center"/>
            <w:textDirection w:val="lrTb"/>
            <w:noWrap w:val="false"/>
          </w:tcPr>
          <w:p>
            <w:pPr>
              <w:spacing w:after="120"/>
              <w:rPr>
                <w:rFonts w:ascii="Calibri" w:hAnsi="Calibri" w:cs="Calibri" w:eastAsia="Calibri"/>
                <w:sz w:val="20"/>
                <w:szCs w:val="20"/>
              </w:rPr>
            </w:pPr>
            <w:r>
              <w:rPr>
                <w:rFonts w:ascii="Calibri" w:hAnsi="Calibri" w:cs="Calibri" w:eastAsia="Calibri"/>
                <w:sz w:val="20"/>
                <w:szCs w:val="20"/>
              </w:rPr>
              <w:t xml:space="preserve">Whole-school closures that are known and planned in advance, including school holidays</w:t>
            </w:r>
            <w:r/>
          </w:p>
        </w:tc>
      </w:tr>
    </w:tbl>
    <w:p>
      <w:pPr>
        <w:spacing w:after="240" w:line="259" w:lineRule="auto"/>
        <w:rPr>
          <w:rFonts w:ascii="Calibri" w:hAnsi="Calibri" w:cs="Calibri" w:eastAsia="Calibri"/>
          <w:sz w:val="28"/>
          <w:szCs w:val="28"/>
        </w:rPr>
      </w:pPr>
      <w:r>
        <w:rPr>
          <w:rFonts w:ascii="Calibri" w:hAnsi="Calibri" w:cs="Calibri" w:eastAsia="Calibri"/>
          <w:sz w:val="28"/>
          <w:szCs w:val="28"/>
        </w:rPr>
      </w:r>
      <w:r/>
    </w:p>
    <w:p>
      <w:pPr>
        <w:jc w:val="both"/>
        <w:rPr>
          <w:rFonts w:ascii="Calibri" w:hAnsi="Calibri" w:cs="Calibri" w:eastAsia="Calibri"/>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20"/>
          <w:szCs w:val="20"/>
        </w:rPr>
      </w:r>
      <w:r/>
    </w:p>
    <w:sectPr>
      <w:footerReference w:type="default" r:id="rId9"/>
      <w:footnotePr/>
      <w:endnotePr/>
      <w:type w:val="nextPage"/>
      <w:pgSz w:w="11906" w:h="16838" w:orient="portrait"/>
      <w:pgMar w:top="720" w:right="720" w:bottom="720" w:left="720" w:header="708" w:footer="708" w:gutter="0"/>
      <w:pgNumType w:start="1"/>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Courier New">
    <w:panose1 w:val="02070309020205020404"/>
  </w:font>
  <w:font w:name="noto sans symbols">
    <w:panose1 w:val="02070409020205020404"/>
  </w:font>
  <w:font w:name="Cambria">
    <w:panose1 w:val="02020603050405020304"/>
  </w:font>
  <w:font w:name="Arial">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tabs>
        <w:tab w:val="center" w:pos="4513" w:leader="none"/>
        <w:tab w:val="right" w:pos="9026" w:leader="none"/>
      </w:tabs>
      <w:rPr>
        <w:rFonts w:ascii="Calibri" w:hAnsi="Calibri" w:cs="Calibri" w:eastAsia="Calibri"/>
        <w:color w:val="000000"/>
        <w:sz w:val="16"/>
        <w:szCs w:val="16"/>
      </w:rPr>
      <w:pBdr>
        <w:top w:val="none" w:color="000000" w:sz="4" w:space="0"/>
        <w:left w:val="none" w:color="000000" w:sz="4" w:space="0"/>
        <w:bottom w:val="none" w:color="000000" w:sz="4" w:space="0"/>
        <w:right w:val="none" w:color="000000" w:sz="4" w:space="0"/>
        <w:between w:val="none" w:color="000000" w:sz="4" w:space="0"/>
      </w:pBdr>
    </w:pPr>
    <w:r>
      <w:rPr>
        <w:rFonts w:ascii="Calibri" w:hAnsi="Calibri" w:cs="Calibri" w:eastAsia="Calibri"/>
        <w:color w:val="000000"/>
        <w:sz w:val="16"/>
        <w:szCs w:val="16"/>
      </w:rPr>
      <w:t xml:space="preserve">Attendance Policy </w:t>
    </w:r>
    <w:r>
      <w:rPr>
        <w:rFonts w:ascii="Calibri" w:hAnsi="Calibri" w:cs="Calibri" w:eastAsia="Calibri"/>
        <w:color w:val="000000"/>
        <w:sz w:val="16"/>
        <w:szCs w:val="16"/>
      </w:rPr>
      <w:tab/>
    </w:r>
    <w:r>
      <w:rPr>
        <w:rFonts w:ascii="Calibri" w:hAnsi="Calibri" w:cs="Calibri" w:eastAsia="Calibri"/>
        <w:color w:val="000000"/>
        <w:sz w:val="16"/>
        <w:szCs w:val="16"/>
      </w:rPr>
      <w:tab/>
    </w:r>
    <w:r/>
  </w:p>
  <w:p>
    <w:pPr>
      <w:tabs>
        <w:tab w:val="center" w:pos="4513" w:leader="none"/>
        <w:tab w:val="right" w:pos="9026"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1">
    <w:multiLevelType w:val="hybridMultilevel"/>
    <w:lvl w:ilvl="0">
      <w:start w:val="1"/>
      <w:numFmt w:val="decimal"/>
      <w:isLgl w:val="false"/>
      <w:suff w:val="tab"/>
      <w:lvlText w:val="%1."/>
      <w:lvlJc w:val="left"/>
      <w:pPr>
        <w:ind w:left="785" w:hanging="360"/>
      </w:pPr>
      <w:rPr>
        <w:sz w:val="22"/>
        <w:szCs w:val="22"/>
      </w:rPr>
    </w:lvl>
    <w:lvl w:ilvl="1">
      <w:start w:val="5"/>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080" w:hanging="72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440" w:hanging="108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1800" w:hanging="1440"/>
      </w:pPr>
    </w:lvl>
  </w:abstractNum>
  <w:abstractNum w:abstractNumId="2">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3">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4">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5">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6">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7">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8">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b w:val="0"/>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9">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10">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11">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12">
    <w:multiLevelType w:val="hybridMultilevel"/>
    <w:lvl w:ilvl="0">
      <w:start w:val="1"/>
      <w:numFmt w:val="bullet"/>
      <w:isLgl w:val="false"/>
      <w:suff w:val="tab"/>
      <w:lvlText w:val="●"/>
      <w:lvlJc w:val="left"/>
      <w:pPr>
        <w:ind w:left="1146" w:hanging="360"/>
      </w:pPr>
      <w:rPr>
        <w:rFonts w:ascii="Noto Sans Symbols" w:hAnsi="Noto Sans Symbols" w:cs="Noto Sans Symbols" w:eastAsia="Noto Sans Symbols"/>
      </w:rPr>
    </w:lvl>
    <w:lvl w:ilvl="1">
      <w:start w:val="1"/>
      <w:numFmt w:val="bullet"/>
      <w:isLgl w:val="false"/>
      <w:suff w:val="tab"/>
      <w:lvlText w:val="o"/>
      <w:lvlJc w:val="left"/>
      <w:pPr>
        <w:ind w:left="1866" w:hanging="360"/>
      </w:pPr>
      <w:rPr>
        <w:rFonts w:ascii="Courier New" w:hAnsi="Courier New" w:cs="Courier New" w:eastAsia="Courier New"/>
      </w:rPr>
    </w:lvl>
    <w:lvl w:ilvl="2">
      <w:start w:val="1"/>
      <w:numFmt w:val="bullet"/>
      <w:isLgl w:val="false"/>
      <w:suff w:val="tab"/>
      <w:lvlText w:val="▪"/>
      <w:lvlJc w:val="left"/>
      <w:pPr>
        <w:ind w:left="2586" w:hanging="360"/>
      </w:pPr>
      <w:rPr>
        <w:rFonts w:ascii="Noto Sans Symbols" w:hAnsi="Noto Sans Symbols" w:cs="Noto Sans Symbols" w:eastAsia="Noto Sans Symbols"/>
      </w:rPr>
    </w:lvl>
    <w:lvl w:ilvl="3">
      <w:start w:val="1"/>
      <w:numFmt w:val="bullet"/>
      <w:isLgl w:val="false"/>
      <w:suff w:val="tab"/>
      <w:lvlText w:val="●"/>
      <w:lvlJc w:val="left"/>
      <w:pPr>
        <w:ind w:left="3306" w:hanging="360"/>
      </w:pPr>
      <w:rPr>
        <w:rFonts w:ascii="Noto Sans Symbols" w:hAnsi="Noto Sans Symbols" w:cs="Noto Sans Symbols" w:eastAsia="Noto Sans Symbols"/>
      </w:rPr>
    </w:lvl>
    <w:lvl w:ilvl="4">
      <w:start w:val="1"/>
      <w:numFmt w:val="bullet"/>
      <w:isLgl w:val="false"/>
      <w:suff w:val="tab"/>
      <w:lvlText w:val="o"/>
      <w:lvlJc w:val="left"/>
      <w:pPr>
        <w:ind w:left="4026" w:hanging="360"/>
      </w:pPr>
      <w:rPr>
        <w:rFonts w:ascii="Courier New" w:hAnsi="Courier New" w:cs="Courier New" w:eastAsia="Courier New"/>
      </w:rPr>
    </w:lvl>
    <w:lvl w:ilvl="5">
      <w:start w:val="1"/>
      <w:numFmt w:val="bullet"/>
      <w:isLgl w:val="false"/>
      <w:suff w:val="tab"/>
      <w:lvlText w:val="▪"/>
      <w:lvlJc w:val="left"/>
      <w:pPr>
        <w:ind w:left="4746" w:hanging="360"/>
      </w:pPr>
      <w:rPr>
        <w:rFonts w:ascii="Noto Sans Symbols" w:hAnsi="Noto Sans Symbols" w:cs="Noto Sans Symbols" w:eastAsia="Noto Sans Symbols"/>
      </w:rPr>
    </w:lvl>
    <w:lvl w:ilvl="6">
      <w:start w:val="1"/>
      <w:numFmt w:val="bullet"/>
      <w:isLgl w:val="false"/>
      <w:suff w:val="tab"/>
      <w:lvlText w:val="●"/>
      <w:lvlJc w:val="left"/>
      <w:pPr>
        <w:ind w:left="5466" w:hanging="360"/>
      </w:pPr>
      <w:rPr>
        <w:rFonts w:ascii="Noto Sans Symbols" w:hAnsi="Noto Sans Symbols" w:cs="Noto Sans Symbols" w:eastAsia="Noto Sans Symbols"/>
      </w:rPr>
    </w:lvl>
    <w:lvl w:ilvl="7">
      <w:start w:val="1"/>
      <w:numFmt w:val="bullet"/>
      <w:isLgl w:val="false"/>
      <w:suff w:val="tab"/>
      <w:lvlText w:val="o"/>
      <w:lvlJc w:val="left"/>
      <w:pPr>
        <w:ind w:left="6186" w:hanging="360"/>
      </w:pPr>
      <w:rPr>
        <w:rFonts w:ascii="Courier New" w:hAnsi="Courier New" w:cs="Courier New" w:eastAsia="Courier New"/>
      </w:rPr>
    </w:lvl>
    <w:lvl w:ilvl="8">
      <w:start w:val="1"/>
      <w:numFmt w:val="bullet"/>
      <w:isLgl w:val="false"/>
      <w:suff w:val="tab"/>
      <w:lvlText w:val="▪"/>
      <w:lvlJc w:val="left"/>
      <w:pPr>
        <w:ind w:left="6906" w:hanging="360"/>
      </w:pPr>
      <w:rPr>
        <w:rFonts w:ascii="Noto Sans Symbols" w:hAnsi="Noto Sans Symbols" w:cs="Noto Sans Symbols" w:eastAsia="Noto Sans Symbols"/>
      </w:rPr>
    </w:lvl>
  </w:abstractNum>
  <w:abstractNum w:abstractNumId="13">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14">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15">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16">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17">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18">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19">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20">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21">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22">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23">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24">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25">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abstractNum w:abstractNumId="26">
    <w:multiLevelType w:val="hybridMultilevel"/>
    <w:lvl w:ilvl="0">
      <w:start w:val="1"/>
      <w:numFmt w:val="bullet"/>
      <w:isLgl w:val="false"/>
      <w:suff w:val="tab"/>
      <w:lvlText w:val="●"/>
      <w:lvlJc w:val="left"/>
      <w:pPr>
        <w:ind w:left="1440" w:hanging="360"/>
      </w:pPr>
      <w:rPr>
        <w:rFonts w:ascii="Noto Sans Symbols" w:hAnsi="Noto Sans Symbols" w:cs="Noto Sans Symbols" w:eastAsia="Noto Sans Symbols"/>
      </w:rPr>
    </w:lvl>
    <w:lvl w:ilvl="1">
      <w:start w:val="1"/>
      <w:numFmt w:val="bullet"/>
      <w:isLgl w:val="false"/>
      <w:suff w:val="tab"/>
      <w:lvlText w:val="o"/>
      <w:lvlJc w:val="left"/>
      <w:pPr>
        <w:ind w:left="2160" w:hanging="360"/>
      </w:pPr>
      <w:rPr>
        <w:rFonts w:ascii="Courier New" w:hAnsi="Courier New" w:cs="Courier New" w:eastAsia="Courier New"/>
      </w:rPr>
    </w:lvl>
    <w:lvl w:ilvl="2">
      <w:start w:val="1"/>
      <w:numFmt w:val="bullet"/>
      <w:isLgl w:val="false"/>
      <w:suff w:val="tab"/>
      <w:lvlText w:val="▪"/>
      <w:lvlJc w:val="left"/>
      <w:pPr>
        <w:ind w:left="2880" w:hanging="360"/>
      </w:pPr>
      <w:rPr>
        <w:rFonts w:ascii="Noto Sans Symbols" w:hAnsi="Noto Sans Symbols" w:cs="Noto Sans Symbols" w:eastAsia="Noto Sans Symbols"/>
      </w:rPr>
    </w:lvl>
    <w:lvl w:ilvl="3">
      <w:start w:val="1"/>
      <w:numFmt w:val="bullet"/>
      <w:isLgl w:val="false"/>
      <w:suff w:val="tab"/>
      <w:lvlText w:val="●"/>
      <w:lvlJc w:val="left"/>
      <w:pPr>
        <w:ind w:left="3600" w:hanging="360"/>
      </w:pPr>
      <w:rPr>
        <w:rFonts w:ascii="Noto Sans Symbols" w:hAnsi="Noto Sans Symbols" w:cs="Noto Sans Symbols" w:eastAsia="Noto Sans Symbols"/>
      </w:rPr>
    </w:lvl>
    <w:lvl w:ilvl="4">
      <w:start w:val="1"/>
      <w:numFmt w:val="bullet"/>
      <w:isLgl w:val="false"/>
      <w:suff w:val="tab"/>
      <w:lvlText w:val="o"/>
      <w:lvlJc w:val="left"/>
      <w:pPr>
        <w:ind w:left="4320" w:hanging="360"/>
      </w:pPr>
      <w:rPr>
        <w:rFonts w:ascii="Courier New" w:hAnsi="Courier New" w:cs="Courier New" w:eastAsia="Courier New"/>
      </w:rPr>
    </w:lvl>
    <w:lvl w:ilvl="5">
      <w:start w:val="1"/>
      <w:numFmt w:val="bullet"/>
      <w:isLgl w:val="false"/>
      <w:suff w:val="tab"/>
      <w:lvlText w:val="▪"/>
      <w:lvlJc w:val="left"/>
      <w:pPr>
        <w:ind w:left="5040" w:hanging="360"/>
      </w:pPr>
      <w:rPr>
        <w:rFonts w:ascii="Noto Sans Symbols" w:hAnsi="Noto Sans Symbols" w:cs="Noto Sans Symbols" w:eastAsia="Noto Sans Symbols"/>
      </w:rPr>
    </w:lvl>
    <w:lvl w:ilvl="6">
      <w:start w:val="1"/>
      <w:numFmt w:val="bullet"/>
      <w:isLgl w:val="false"/>
      <w:suff w:val="tab"/>
      <w:lvlText w:val="●"/>
      <w:lvlJc w:val="left"/>
      <w:pPr>
        <w:ind w:left="5760" w:hanging="360"/>
      </w:pPr>
      <w:rPr>
        <w:rFonts w:ascii="Noto Sans Symbols" w:hAnsi="Noto Sans Symbols" w:cs="Noto Sans Symbols" w:eastAsia="Noto Sans Symbols"/>
      </w:rPr>
    </w:lvl>
    <w:lvl w:ilvl="7">
      <w:start w:val="1"/>
      <w:numFmt w:val="bullet"/>
      <w:isLgl w:val="false"/>
      <w:suff w:val="tab"/>
      <w:lvlText w:val="o"/>
      <w:lvlJc w:val="left"/>
      <w:pPr>
        <w:ind w:left="6480" w:hanging="360"/>
      </w:pPr>
      <w:rPr>
        <w:rFonts w:ascii="Courier New" w:hAnsi="Courier New" w:cs="Courier New" w:eastAsia="Courier New"/>
      </w:rPr>
    </w:lvl>
    <w:lvl w:ilvl="8">
      <w:start w:val="1"/>
      <w:numFmt w:val="bullet"/>
      <w:isLgl w:val="false"/>
      <w:suff w:val="tab"/>
      <w:lvlText w:val="▪"/>
      <w:lvlJc w:val="left"/>
      <w:pPr>
        <w:ind w:left="7200" w:hanging="360"/>
      </w:pPr>
      <w:rPr>
        <w:rFonts w:ascii="Noto Sans Symbols" w:hAnsi="Noto Sans Symbols" w:cs="Noto Sans Symbols" w:eastAsia="Noto Sans Symbols"/>
      </w:rPr>
    </w:lvl>
  </w:abstractNum>
  <w:num w:numId="1">
    <w:abstractNumId w:val="1"/>
  </w:num>
  <w:num w:numId="2">
    <w:abstractNumId w:val="20"/>
  </w:num>
  <w:num w:numId="3">
    <w:abstractNumId w:val="3"/>
  </w:num>
  <w:num w:numId="4">
    <w:abstractNumId w:val="11"/>
  </w:num>
  <w:num w:numId="5">
    <w:abstractNumId w:val="9"/>
  </w:num>
  <w:num w:numId="6">
    <w:abstractNumId w:val="4"/>
  </w:num>
  <w:num w:numId="7">
    <w:abstractNumId w:val="14"/>
  </w:num>
  <w:num w:numId="8">
    <w:abstractNumId w:val="23"/>
  </w:num>
  <w:num w:numId="9">
    <w:abstractNumId w:val="19"/>
  </w:num>
  <w:num w:numId="10">
    <w:abstractNumId w:val="15"/>
  </w:num>
  <w:num w:numId="11">
    <w:abstractNumId w:val="2"/>
  </w:num>
  <w:num w:numId="12">
    <w:abstractNumId w:val="8"/>
  </w:num>
  <w:num w:numId="13">
    <w:abstractNumId w:val="10"/>
  </w:num>
  <w:num w:numId="14">
    <w:abstractNumId w:val="6"/>
  </w:num>
  <w:num w:numId="15">
    <w:abstractNumId w:val="13"/>
  </w:num>
  <w:num w:numId="16">
    <w:abstractNumId w:val="25"/>
  </w:num>
  <w:num w:numId="17">
    <w:abstractNumId w:val="17"/>
  </w:num>
  <w:num w:numId="18">
    <w:abstractNumId w:val="18"/>
  </w:num>
  <w:num w:numId="19">
    <w:abstractNumId w:val="7"/>
  </w:num>
  <w:num w:numId="20">
    <w:abstractNumId w:val="21"/>
  </w:num>
  <w:num w:numId="21">
    <w:abstractNumId w:val="12"/>
  </w:num>
  <w:num w:numId="22">
    <w:abstractNumId w:val="5"/>
  </w:num>
  <w:num w:numId="23">
    <w:abstractNumId w:val="24"/>
  </w:num>
  <w:num w:numId="24">
    <w:abstractNumId w:val="26"/>
  </w:num>
  <w:num w:numId="25">
    <w:abstractNumId w:val="16"/>
  </w:num>
  <w:num w:numId="26">
    <w:abstractNumId w:val="2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GB" w:bidi="ar-SA" w:eastAsia="en-GB"/>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717"/>
    <w:link w:val="711"/>
    <w:uiPriority w:val="9"/>
    <w:rPr>
      <w:rFonts w:ascii="Arial" w:hAnsi="Arial" w:cs="Arial" w:eastAsia="Arial"/>
      <w:sz w:val="40"/>
      <w:szCs w:val="40"/>
    </w:rPr>
  </w:style>
  <w:style w:type="character" w:styleId="14">
    <w:name w:val="Heading 2 Char"/>
    <w:basedOn w:val="717"/>
    <w:link w:val="712"/>
    <w:uiPriority w:val="9"/>
    <w:rPr>
      <w:rFonts w:ascii="Arial" w:hAnsi="Arial" w:cs="Arial" w:eastAsia="Arial"/>
      <w:sz w:val="34"/>
    </w:rPr>
  </w:style>
  <w:style w:type="character" w:styleId="16">
    <w:name w:val="Heading 3 Char"/>
    <w:basedOn w:val="717"/>
    <w:link w:val="713"/>
    <w:uiPriority w:val="9"/>
    <w:rPr>
      <w:rFonts w:ascii="Arial" w:hAnsi="Arial" w:cs="Arial" w:eastAsia="Arial"/>
      <w:sz w:val="30"/>
      <w:szCs w:val="30"/>
    </w:rPr>
  </w:style>
  <w:style w:type="character" w:styleId="18">
    <w:name w:val="Heading 4 Char"/>
    <w:basedOn w:val="717"/>
    <w:link w:val="714"/>
    <w:uiPriority w:val="9"/>
    <w:rPr>
      <w:rFonts w:ascii="Arial" w:hAnsi="Arial" w:cs="Arial" w:eastAsia="Arial"/>
      <w:b/>
      <w:bCs/>
      <w:sz w:val="26"/>
      <w:szCs w:val="26"/>
    </w:rPr>
  </w:style>
  <w:style w:type="character" w:styleId="20">
    <w:name w:val="Heading 5 Char"/>
    <w:basedOn w:val="717"/>
    <w:link w:val="715"/>
    <w:uiPriority w:val="9"/>
    <w:rPr>
      <w:rFonts w:ascii="Arial" w:hAnsi="Arial" w:cs="Arial" w:eastAsia="Arial"/>
      <w:b/>
      <w:bCs/>
      <w:sz w:val="24"/>
      <w:szCs w:val="24"/>
    </w:rPr>
  </w:style>
  <w:style w:type="character" w:styleId="22">
    <w:name w:val="Heading 6 Char"/>
    <w:basedOn w:val="717"/>
    <w:link w:val="716"/>
    <w:uiPriority w:val="9"/>
    <w:rPr>
      <w:rFonts w:ascii="Arial" w:hAnsi="Arial" w:cs="Arial" w:eastAsia="Arial"/>
      <w:b/>
      <w:bCs/>
      <w:sz w:val="22"/>
      <w:szCs w:val="22"/>
    </w:rPr>
  </w:style>
  <w:style w:type="paragraph" w:styleId="23">
    <w:name w:val="Heading 7"/>
    <w:basedOn w:val="710"/>
    <w:next w:val="710"/>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717"/>
    <w:link w:val="23"/>
    <w:uiPriority w:val="9"/>
    <w:rPr>
      <w:rFonts w:ascii="Arial" w:hAnsi="Arial" w:cs="Arial" w:eastAsia="Arial"/>
      <w:b/>
      <w:bCs/>
      <w:i/>
      <w:iCs/>
      <w:sz w:val="22"/>
      <w:szCs w:val="22"/>
    </w:rPr>
  </w:style>
  <w:style w:type="paragraph" w:styleId="25">
    <w:name w:val="Heading 8"/>
    <w:basedOn w:val="710"/>
    <w:next w:val="710"/>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717"/>
    <w:link w:val="25"/>
    <w:uiPriority w:val="9"/>
    <w:rPr>
      <w:rFonts w:ascii="Arial" w:hAnsi="Arial" w:cs="Arial" w:eastAsia="Arial"/>
      <w:i/>
      <w:iCs/>
      <w:sz w:val="22"/>
      <w:szCs w:val="22"/>
    </w:rPr>
  </w:style>
  <w:style w:type="paragraph" w:styleId="27">
    <w:name w:val="Heading 9"/>
    <w:basedOn w:val="710"/>
    <w:next w:val="710"/>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717"/>
    <w:link w:val="27"/>
    <w:uiPriority w:val="9"/>
    <w:rPr>
      <w:rFonts w:ascii="Arial" w:hAnsi="Arial" w:cs="Arial" w:eastAsia="Arial"/>
      <w:i/>
      <w:iCs/>
      <w:sz w:val="21"/>
      <w:szCs w:val="21"/>
    </w:rPr>
  </w:style>
  <w:style w:type="paragraph" w:styleId="29">
    <w:name w:val="List Paragraph"/>
    <w:basedOn w:val="710"/>
    <w:uiPriority w:val="34"/>
    <w:qFormat/>
    <w:pPr>
      <w:contextualSpacing/>
      <w:ind w:left="720"/>
    </w:pPr>
  </w:style>
  <w:style w:type="paragraph" w:styleId="31">
    <w:name w:val="No Spacing"/>
    <w:uiPriority w:val="1"/>
    <w:qFormat/>
    <w:pPr>
      <w:spacing w:before="0" w:after="0" w:line="240" w:lineRule="auto"/>
    </w:pPr>
  </w:style>
  <w:style w:type="character" w:styleId="33">
    <w:name w:val="Title Char"/>
    <w:basedOn w:val="717"/>
    <w:link w:val="720"/>
    <w:uiPriority w:val="10"/>
    <w:rPr>
      <w:sz w:val="48"/>
      <w:szCs w:val="48"/>
    </w:rPr>
  </w:style>
  <w:style w:type="character" w:styleId="35">
    <w:name w:val="Subtitle Char"/>
    <w:basedOn w:val="717"/>
    <w:link w:val="721"/>
    <w:uiPriority w:val="11"/>
    <w:rPr>
      <w:sz w:val="24"/>
      <w:szCs w:val="24"/>
    </w:rPr>
  </w:style>
  <w:style w:type="paragraph" w:styleId="36">
    <w:name w:val="Quote"/>
    <w:basedOn w:val="710"/>
    <w:next w:val="710"/>
    <w:link w:val="37"/>
    <w:uiPriority w:val="29"/>
    <w:qFormat/>
    <w:pPr>
      <w:ind w:left="720" w:right="720"/>
    </w:pPr>
    <w:rPr>
      <w:i/>
    </w:rPr>
  </w:style>
  <w:style w:type="character" w:styleId="37">
    <w:name w:val="Quote Char"/>
    <w:link w:val="36"/>
    <w:uiPriority w:val="29"/>
    <w:rPr>
      <w:i/>
    </w:rPr>
  </w:style>
  <w:style w:type="paragraph" w:styleId="38">
    <w:name w:val="Intense Quote"/>
    <w:basedOn w:val="710"/>
    <w:next w:val="710"/>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710"/>
    <w:link w:val="41"/>
    <w:uiPriority w:val="99"/>
    <w:unhideWhenUsed/>
    <w:pPr>
      <w:spacing w:after="0" w:line="240" w:lineRule="auto"/>
      <w:tabs>
        <w:tab w:val="center" w:pos="7143" w:leader="none"/>
        <w:tab w:val="right" w:pos="14287" w:leader="none"/>
      </w:tabs>
    </w:pPr>
  </w:style>
  <w:style w:type="character" w:styleId="41">
    <w:name w:val="Header Char"/>
    <w:basedOn w:val="717"/>
    <w:link w:val="40"/>
    <w:uiPriority w:val="99"/>
  </w:style>
  <w:style w:type="paragraph" w:styleId="42">
    <w:name w:val="Footer"/>
    <w:basedOn w:val="710"/>
    <w:link w:val="45"/>
    <w:uiPriority w:val="99"/>
    <w:unhideWhenUsed/>
    <w:pPr>
      <w:spacing w:after="0" w:line="240" w:lineRule="auto"/>
      <w:tabs>
        <w:tab w:val="center" w:pos="7143" w:leader="none"/>
        <w:tab w:val="right" w:pos="14287" w:leader="none"/>
      </w:tabs>
    </w:pPr>
  </w:style>
  <w:style w:type="character" w:styleId="43">
    <w:name w:val="Footer Char"/>
    <w:basedOn w:val="717"/>
    <w:link w:val="42"/>
    <w:uiPriority w:val="99"/>
  </w:style>
  <w:style w:type="paragraph" w:styleId="44">
    <w:name w:val="Caption"/>
    <w:basedOn w:val="710"/>
    <w:next w:val="710"/>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7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7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7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7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7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7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7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7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7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7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7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7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7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7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7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7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7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7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7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7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7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7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7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7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7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7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7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7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7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7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7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7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7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7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7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7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7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7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7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7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7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7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7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7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7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7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7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7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7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7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7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7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7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7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7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7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7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71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71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71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71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71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71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7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7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7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7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7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7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7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7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7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7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7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7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7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7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7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7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7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7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7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7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7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7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7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7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7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7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7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7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7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7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7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7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7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7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7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7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7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7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7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7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7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7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7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7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7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7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7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7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7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7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7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7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7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7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7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7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7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7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7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7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7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7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7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710"/>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717"/>
    <w:uiPriority w:val="99"/>
    <w:unhideWhenUsed/>
    <w:rPr>
      <w:vertAlign w:val="superscript"/>
    </w:rPr>
  </w:style>
  <w:style w:type="paragraph" w:styleId="176">
    <w:name w:val="endnote text"/>
    <w:basedOn w:val="710"/>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717"/>
    <w:uiPriority w:val="99"/>
    <w:semiHidden/>
    <w:unhideWhenUsed/>
    <w:rPr>
      <w:vertAlign w:val="superscript"/>
    </w:rPr>
  </w:style>
  <w:style w:type="paragraph" w:styleId="179">
    <w:name w:val="toc 1"/>
    <w:basedOn w:val="710"/>
    <w:next w:val="710"/>
    <w:uiPriority w:val="39"/>
    <w:unhideWhenUsed/>
    <w:pPr>
      <w:ind w:left="0" w:right="0" w:firstLine="0"/>
      <w:spacing w:after="57"/>
    </w:pPr>
  </w:style>
  <w:style w:type="paragraph" w:styleId="180">
    <w:name w:val="toc 2"/>
    <w:basedOn w:val="710"/>
    <w:next w:val="710"/>
    <w:uiPriority w:val="39"/>
    <w:unhideWhenUsed/>
    <w:pPr>
      <w:ind w:left="283" w:right="0" w:firstLine="0"/>
      <w:spacing w:after="57"/>
    </w:pPr>
  </w:style>
  <w:style w:type="paragraph" w:styleId="181">
    <w:name w:val="toc 3"/>
    <w:basedOn w:val="710"/>
    <w:next w:val="710"/>
    <w:uiPriority w:val="39"/>
    <w:unhideWhenUsed/>
    <w:pPr>
      <w:ind w:left="567" w:right="0" w:firstLine="0"/>
      <w:spacing w:after="57"/>
    </w:pPr>
  </w:style>
  <w:style w:type="paragraph" w:styleId="182">
    <w:name w:val="toc 4"/>
    <w:basedOn w:val="710"/>
    <w:next w:val="710"/>
    <w:uiPriority w:val="39"/>
    <w:unhideWhenUsed/>
    <w:pPr>
      <w:ind w:left="850" w:right="0" w:firstLine="0"/>
      <w:spacing w:after="57"/>
    </w:pPr>
  </w:style>
  <w:style w:type="paragraph" w:styleId="183">
    <w:name w:val="toc 5"/>
    <w:basedOn w:val="710"/>
    <w:next w:val="710"/>
    <w:uiPriority w:val="39"/>
    <w:unhideWhenUsed/>
    <w:pPr>
      <w:ind w:left="1134" w:right="0" w:firstLine="0"/>
      <w:spacing w:after="57"/>
    </w:pPr>
  </w:style>
  <w:style w:type="paragraph" w:styleId="184">
    <w:name w:val="toc 6"/>
    <w:basedOn w:val="710"/>
    <w:next w:val="710"/>
    <w:uiPriority w:val="39"/>
    <w:unhideWhenUsed/>
    <w:pPr>
      <w:ind w:left="1417" w:right="0" w:firstLine="0"/>
      <w:spacing w:after="57"/>
    </w:pPr>
  </w:style>
  <w:style w:type="paragraph" w:styleId="185">
    <w:name w:val="toc 7"/>
    <w:basedOn w:val="710"/>
    <w:next w:val="710"/>
    <w:uiPriority w:val="39"/>
    <w:unhideWhenUsed/>
    <w:pPr>
      <w:ind w:left="1701" w:right="0" w:firstLine="0"/>
      <w:spacing w:after="57"/>
    </w:pPr>
  </w:style>
  <w:style w:type="paragraph" w:styleId="186">
    <w:name w:val="toc 8"/>
    <w:basedOn w:val="710"/>
    <w:next w:val="710"/>
    <w:uiPriority w:val="39"/>
    <w:unhideWhenUsed/>
    <w:pPr>
      <w:ind w:left="1984" w:right="0" w:firstLine="0"/>
      <w:spacing w:after="57"/>
    </w:pPr>
  </w:style>
  <w:style w:type="paragraph" w:styleId="187">
    <w:name w:val="toc 9"/>
    <w:basedOn w:val="710"/>
    <w:next w:val="710"/>
    <w:uiPriority w:val="39"/>
    <w:unhideWhenUsed/>
    <w:pPr>
      <w:ind w:left="2268" w:right="0" w:firstLine="0"/>
      <w:spacing w:after="57"/>
    </w:pPr>
  </w:style>
  <w:style w:type="paragraph" w:styleId="188">
    <w:name w:val="TOC Heading"/>
    <w:uiPriority w:val="39"/>
    <w:unhideWhenUsed/>
  </w:style>
  <w:style w:type="paragraph" w:styleId="189">
    <w:name w:val="table of figures"/>
    <w:basedOn w:val="710"/>
    <w:next w:val="710"/>
    <w:uiPriority w:val="99"/>
    <w:unhideWhenUsed/>
    <w:pPr>
      <w:spacing w:after="0" w:afterAutospacing="0"/>
    </w:pPr>
  </w:style>
  <w:style w:type="paragraph" w:styleId="710" w:default="1">
    <w:name w:val="Normal"/>
  </w:style>
  <w:style w:type="paragraph" w:styleId="711">
    <w:name w:val="Heading 1"/>
    <w:basedOn w:val="710"/>
    <w:next w:val="710"/>
    <w:pPr>
      <w:keepNext/>
      <w:spacing w:before="240" w:after="60"/>
      <w:outlineLvl w:val="0"/>
    </w:pPr>
    <w:rPr>
      <w:rFonts w:ascii="Cambria" w:hAnsi="Cambria" w:cs="Cambria" w:eastAsia="Cambria"/>
      <w:b/>
      <w:sz w:val="32"/>
      <w:szCs w:val="32"/>
    </w:rPr>
  </w:style>
  <w:style w:type="paragraph" w:styleId="712">
    <w:name w:val="Heading 2"/>
    <w:basedOn w:val="710"/>
    <w:next w:val="710"/>
    <w:pPr>
      <w:keepLines/>
      <w:keepNext/>
      <w:spacing w:before="360" w:after="200"/>
      <w:outlineLvl w:val="1"/>
    </w:pPr>
    <w:rPr>
      <w:rFonts w:ascii="Arial" w:hAnsi="Arial" w:cs="Arial" w:eastAsia="Arial"/>
      <w:sz w:val="34"/>
      <w:szCs w:val="34"/>
    </w:rPr>
  </w:style>
  <w:style w:type="paragraph" w:styleId="713">
    <w:name w:val="Heading 3"/>
    <w:basedOn w:val="710"/>
    <w:next w:val="710"/>
    <w:pPr>
      <w:keepLines/>
      <w:keepNext/>
      <w:spacing w:before="320" w:after="200"/>
      <w:outlineLvl w:val="2"/>
    </w:pPr>
    <w:rPr>
      <w:rFonts w:ascii="Arial" w:hAnsi="Arial" w:cs="Arial" w:eastAsia="Arial"/>
      <w:sz w:val="30"/>
      <w:szCs w:val="30"/>
    </w:rPr>
  </w:style>
  <w:style w:type="paragraph" w:styleId="714">
    <w:name w:val="Heading 4"/>
    <w:basedOn w:val="710"/>
    <w:next w:val="710"/>
    <w:pPr>
      <w:keepLines/>
      <w:keepNext/>
      <w:spacing w:before="320" w:after="200"/>
      <w:outlineLvl w:val="3"/>
    </w:pPr>
    <w:rPr>
      <w:rFonts w:ascii="Arial" w:hAnsi="Arial" w:cs="Arial" w:eastAsia="Arial"/>
      <w:b/>
      <w:sz w:val="26"/>
      <w:szCs w:val="26"/>
    </w:rPr>
  </w:style>
  <w:style w:type="paragraph" w:styleId="715">
    <w:name w:val="Heading 5"/>
    <w:basedOn w:val="710"/>
    <w:next w:val="710"/>
    <w:pPr>
      <w:keepLines/>
      <w:keepNext/>
      <w:spacing w:before="320" w:after="200"/>
      <w:outlineLvl w:val="4"/>
    </w:pPr>
    <w:rPr>
      <w:rFonts w:ascii="Arial" w:hAnsi="Arial" w:cs="Arial" w:eastAsia="Arial"/>
      <w:b/>
    </w:rPr>
  </w:style>
  <w:style w:type="paragraph" w:styleId="716">
    <w:name w:val="Heading 6"/>
    <w:basedOn w:val="710"/>
    <w:next w:val="710"/>
    <w:pPr>
      <w:keepLines/>
      <w:keepNext/>
      <w:spacing w:before="320" w:after="200"/>
      <w:outlineLvl w:val="5"/>
    </w:pPr>
    <w:rPr>
      <w:rFonts w:ascii="Arial" w:hAnsi="Arial" w:cs="Arial" w:eastAsia="Arial"/>
      <w:b/>
      <w:sz w:val="22"/>
      <w:szCs w:val="22"/>
    </w:rPr>
  </w:style>
  <w:style w:type="character" w:styleId="717" w:default="1">
    <w:name w:val="Default Paragraph Font"/>
    <w:uiPriority w:val="1"/>
    <w:semiHidden/>
    <w:unhideWhenUsed/>
  </w:style>
  <w:style w:type="table" w:styleId="718" w:default="1">
    <w:name w:val="Normal Table"/>
    <w:uiPriority w:val="99"/>
    <w:semiHidden/>
    <w:unhideWhenUsed/>
    <w:tblPr>
      <w:tblInd w:w="0" w:type="dxa"/>
      <w:tblCellMar>
        <w:left w:w="108" w:type="dxa"/>
        <w:top w:w="0" w:type="dxa"/>
        <w:right w:w="108" w:type="dxa"/>
        <w:bottom w:w="0" w:type="dxa"/>
      </w:tblCellMar>
    </w:tblPr>
  </w:style>
  <w:style w:type="numbering" w:styleId="719" w:default="1">
    <w:name w:val="No List"/>
    <w:uiPriority w:val="99"/>
    <w:semiHidden/>
    <w:unhideWhenUsed/>
  </w:style>
  <w:style w:type="paragraph" w:styleId="720">
    <w:name w:val="Title"/>
    <w:basedOn w:val="710"/>
    <w:next w:val="710"/>
    <w:pPr>
      <w:spacing w:before="300" w:after="200"/>
    </w:pPr>
    <w:rPr>
      <w:sz w:val="48"/>
      <w:szCs w:val="48"/>
    </w:rPr>
  </w:style>
  <w:style w:type="paragraph" w:styleId="721">
    <w:name w:val="Subtitle"/>
    <w:basedOn w:val="710"/>
    <w:next w:val="710"/>
    <w:pPr>
      <w:spacing w:before="200" w:after="200"/>
    </w:pPr>
  </w:style>
  <w:style w:type="table" w:styleId="722" w:customStyle="1">
    <w:name w:val="StGen0"/>
    <w:basedOn w:val="718"/>
    <w:tblPr>
      <w:tblStyleRowBandSize w:val="1"/>
      <w:tblStyleColBandSize w:val="1"/>
      <w:tblCellMar>
        <w:left w:w="115" w:type="dxa"/>
        <w:top w:w="57" w:type="dxa"/>
        <w:right w:w="115" w:type="dxa"/>
        <w:bottom w:w="57" w:type="dxa"/>
      </w:tblCellMar>
    </w:tblPr>
  </w:style>
  <w:style w:type="table" w:styleId="723" w:customStyle="1">
    <w:name w:val="StGen1"/>
    <w:basedOn w:val="718"/>
    <w:tblPr>
      <w:tblStyleRowBandSize w:val="1"/>
      <w:tblStyleColBandSize w:val="1"/>
      <w:tblCellMar>
        <w:left w:w="0" w:type="dxa"/>
        <w:right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image" Target="media/image1.jpg"/><Relationship Id="rId11" Type="http://schemas.openxmlformats.org/officeDocument/2006/relationships/hyperlink" Target="https://www.gov.uk/government/publications/working-together-to-improve-school-attendance" TargetMode="External"/><Relationship Id="rId12" Type="http://schemas.openxmlformats.org/officeDocument/2006/relationships/hyperlink" Target="https://www.gov.uk/government/publications/parental-responsibility-measures-for-behaviour-and-attendance" TargetMode="External"/><Relationship Id="rId13" Type="http://schemas.openxmlformats.org/officeDocument/2006/relationships/hyperlink" Target="https://www.legislation.gov.uk/ukpga/1996/56/contents" TargetMode="External"/><Relationship Id="rId14" Type="http://schemas.openxmlformats.org/officeDocument/2006/relationships/hyperlink" Target="https://www.legislation.gov.uk/ukpga/2002/32/contents" TargetMode="External"/><Relationship Id="rId15" Type="http://schemas.openxmlformats.org/officeDocument/2006/relationships/hyperlink" Target="https://www.legislation.gov.uk/ukpga/2006/40/contents" TargetMode="External"/><Relationship Id="rId16" Type="http://schemas.openxmlformats.org/officeDocument/2006/relationships/hyperlink" Target="https://www.legislation.gov.uk/uksi/2024/208/made" TargetMode="External"/><Relationship Id="rId17" Type="http://schemas.openxmlformats.org/officeDocument/2006/relationships/hyperlink" Target="https://www.legislation.gov.uk/uksi/2006/1751/contents" TargetMode="External"/><Relationship Id="rId18" Type="http://schemas.openxmlformats.org/officeDocument/2006/relationships/hyperlink" Target="https://www.legislation.gov.uk/uksi/2013/757/regulation/2/made" TargetMode="External"/><Relationship Id="rId19" Type="http://schemas.openxmlformats.org/officeDocument/2006/relationships/hyperlink" Target="https://www.gov.uk/guidance/complete-the-school-census" TargetMode="External"/><Relationship Id="rId20" Type="http://schemas.openxmlformats.org/officeDocument/2006/relationships/hyperlink" Target="https://www.gov.uk/government/publications/keeping-children-safe-in-education--2" TargetMode="External"/><Relationship Id="rId21" Type="http://schemas.openxmlformats.org/officeDocument/2006/relationships/hyperlink" Target="https://www.gov.uk/government/publications/mental-health-issues-affecting-a-pupils-attendance-guidance-for-schools" TargetMode="External"/><Relationship Id="rId22" Type="http://schemas.openxmlformats.org/officeDocument/2006/relationships/hyperlink" Target="about:blank" TargetMode="External"/><Relationship Id="rId23" Type="http://schemas.openxmlformats.org/officeDocument/2006/relationships/hyperlink" Target="mailto:silverstoneoffice@ontrackeducation.com" TargetMode="External"/><Relationship Id="rId24" Type="http://schemas.openxmlformats.org/officeDocument/2006/relationships/hyperlink" Target="https://www.gov.uk/government/publications/working-together-to-improve-school-attendance"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ONLYOFFICE/7.1.1.23</Application>
  <Company>HP Inc.</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Harris</dc:creator>
  <cp:lastModifiedBy>Paula Wynn</cp:lastModifiedBy>
  <cp:revision>3</cp:revision>
  <dcterms:created xsi:type="dcterms:W3CDTF">2025-08-22T13:16:00Z</dcterms:created>
  <dcterms:modified xsi:type="dcterms:W3CDTF">2025-09-09T07:42:07Z</dcterms:modified>
</cp:coreProperties>
</file>